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6E6D4" w14:textId="77777777" w:rsidR="00F026D5" w:rsidRPr="00B213D8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70E2104E" w14:textId="77777777" w:rsidR="00F026D5" w:rsidRPr="00B213D8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2B987081" w14:textId="4D58B17D" w:rsidR="00F026D5" w:rsidRPr="00B213D8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>za I</w:t>
      </w:r>
      <w:r w:rsidR="009F7C0B">
        <w:rPr>
          <w:rFonts w:ascii="Arial" w:hAnsi="Arial" w:cs="Arial"/>
          <w:b/>
          <w:color w:val="auto"/>
          <w:sz w:val="24"/>
          <w:szCs w:val="24"/>
        </w:rPr>
        <w:t>I</w:t>
      </w: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6A0583" w:rsidRPr="00B213D8">
        <w:rPr>
          <w:rFonts w:ascii="Arial" w:hAnsi="Arial" w:cs="Arial"/>
          <w:b/>
          <w:color w:val="auto"/>
          <w:sz w:val="24"/>
          <w:szCs w:val="24"/>
        </w:rPr>
        <w:t>9</w:t>
      </w: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73B18FB4" w14:textId="77777777" w:rsidR="004D6970" w:rsidRPr="00B213D8" w:rsidRDefault="004D697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B213D8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213D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213D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F41E6F9" w:rsidR="00CA516B" w:rsidRPr="00B213D8" w:rsidRDefault="0011062E">
            <w:pPr>
              <w:spacing w:line="276" w:lineRule="auto"/>
              <w:rPr>
                <w:rFonts w:ascii="Arial" w:hAnsi="Arial" w:cs="Arial"/>
                <w:b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B213D8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213D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A43BFA0" w:rsidR="0011062E" w:rsidRPr="00B213D8" w:rsidRDefault="004C46A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B213D8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213D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B400BB2" w:rsidR="00CA516B" w:rsidRPr="00B213D8" w:rsidRDefault="0011062E">
            <w:pPr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B213D8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213D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FCF5266" w:rsidR="00CA516B" w:rsidRPr="00B213D8" w:rsidRDefault="00110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B213D8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213D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25D55A" w14:textId="19811E77" w:rsidR="0011062E" w:rsidRPr="00B213D8" w:rsidRDefault="0011062E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</w:t>
            </w:r>
            <w:r w:rsidR="0036248F" w:rsidRPr="00B213D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213D8">
              <w:rPr>
                <w:rFonts w:ascii="Arial" w:hAnsi="Arial" w:cs="Arial"/>
                <w:sz w:val="20"/>
                <w:szCs w:val="20"/>
              </w:rPr>
              <w:t>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753672DA" w:rsidR="00922737" w:rsidRPr="00B213D8" w:rsidRDefault="004C46AA" w:rsidP="004C46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B213D8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48C85ED2" w:rsidR="008A332F" w:rsidRPr="00B213D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B213D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8BA7C7F" w:rsidR="003A781A" w:rsidRPr="00B213D8" w:rsidRDefault="003A781A" w:rsidP="00A717CB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</w:t>
            </w:r>
            <w:r w:rsidR="00A717CB" w:rsidRPr="00B213D8">
              <w:rPr>
                <w:rFonts w:ascii="Arial" w:hAnsi="Arial" w:cs="Arial"/>
                <w:sz w:val="20"/>
                <w:szCs w:val="20"/>
              </w:rPr>
              <w:t> </w:t>
            </w:r>
            <w:r w:rsidRPr="00B213D8">
              <w:rPr>
                <w:rFonts w:ascii="Arial" w:hAnsi="Arial" w:cs="Arial"/>
                <w:sz w:val="20"/>
                <w:szCs w:val="20"/>
              </w:rPr>
              <w:t>3</w:t>
            </w:r>
            <w:r w:rsidR="00A717CB" w:rsidRPr="00B213D8">
              <w:rPr>
                <w:rFonts w:ascii="Arial" w:hAnsi="Arial" w:cs="Arial"/>
                <w:sz w:val="20"/>
                <w:szCs w:val="20"/>
              </w:rPr>
              <w:t>74 959,91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CA516B" w:rsidRPr="00B213D8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213D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213D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B213D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B5ECB47" w:rsidR="009D3854" w:rsidRPr="00B213D8" w:rsidRDefault="000161E9" w:rsidP="0036248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01.08.2018</w:t>
            </w:r>
            <w:r w:rsidR="009D3854" w:rsidRPr="00B213D8">
              <w:rPr>
                <w:rFonts w:ascii="Arial" w:hAnsi="Arial" w:cs="Arial"/>
                <w:sz w:val="20"/>
                <w:szCs w:val="20"/>
              </w:rPr>
              <w:t xml:space="preserve"> r. – 31.07.2021 r.</w:t>
            </w:r>
          </w:p>
        </w:tc>
      </w:tr>
    </w:tbl>
    <w:p w14:paraId="35739824" w14:textId="77777777" w:rsidR="004D6970" w:rsidRPr="00B213D8" w:rsidRDefault="004D6970" w:rsidP="004D6970"/>
    <w:p w14:paraId="59F7DA39" w14:textId="413AD596" w:rsidR="004C1D48" w:rsidRPr="00B213D8" w:rsidRDefault="004C1D48" w:rsidP="004D697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213D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213D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="00F2008A" w:rsidRPr="00B213D8">
        <w:tab/>
      </w:r>
    </w:p>
    <w:p w14:paraId="2EA065FC" w14:textId="5628362C" w:rsidR="004D6970" w:rsidRPr="00B213D8" w:rsidRDefault="007F617F" w:rsidP="004D6970">
      <w:pPr>
        <w:spacing w:before="120"/>
      </w:pPr>
      <w:r w:rsidRPr="00B213D8">
        <w:rPr>
          <w:rFonts w:ascii="Arial" w:eastAsiaTheme="majorEastAsia" w:hAnsi="Arial" w:cs="Arial"/>
        </w:rPr>
        <w:t>Nie dotyczy</w:t>
      </w:r>
    </w:p>
    <w:p w14:paraId="147B986C" w14:textId="7DF867C4" w:rsidR="003C7325" w:rsidRPr="00B213D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213D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213D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02"/>
        <w:gridCol w:w="3430"/>
        <w:gridCol w:w="3402"/>
      </w:tblGrid>
      <w:tr w:rsidR="00907F6D" w:rsidRPr="00B213D8" w14:paraId="7001934B" w14:textId="77777777" w:rsidTr="007314B2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213D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3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B213D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B213D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F617F" w:rsidRPr="00B213D8" w14:paraId="52E72A77" w14:textId="77777777" w:rsidTr="007314B2">
        <w:tc>
          <w:tcPr>
            <w:tcW w:w="2802" w:type="dxa"/>
          </w:tcPr>
          <w:p w14:paraId="2A5EA0D7" w14:textId="468327D9" w:rsidR="007F617F" w:rsidRPr="00B213D8" w:rsidRDefault="00D0090C" w:rsidP="007F61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7F617F" w:rsidRPr="00B213D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30" w:type="dxa"/>
          </w:tcPr>
          <w:p w14:paraId="0B4D1B9F" w14:textId="2E54BBDC" w:rsidR="0097197F" w:rsidRPr="00B213D8" w:rsidRDefault="00610D37" w:rsidP="00C771B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9,7</w:t>
            </w:r>
            <w:r w:rsidR="00AE3532" w:rsidRPr="00B213D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28294920" w14:textId="734E8E47" w:rsidR="006060B2" w:rsidRPr="00B213D8" w:rsidRDefault="009C7E84" w:rsidP="00A7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742320">
              <w:rPr>
                <w:rFonts w:ascii="Arial" w:hAnsi="Arial" w:cs="Arial"/>
                <w:sz w:val="20"/>
                <w:szCs w:val="20"/>
              </w:rPr>
              <w:t>1,8</w:t>
            </w:r>
            <w:r w:rsidR="00E654DF" w:rsidRPr="00B213D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673BC6A2" w:rsidR="002B50C0" w:rsidRPr="00B213D8" w:rsidRDefault="002B50C0" w:rsidP="007702C3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B213D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213D8">
        <w:rPr>
          <w:rFonts w:ascii="Arial" w:hAnsi="Arial" w:cs="Arial"/>
          <w:color w:val="auto"/>
        </w:rPr>
        <w:t xml:space="preserve"> </w:t>
      </w:r>
      <w:r w:rsidR="00B41415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B213D8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213D8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324" w:type="pct"/>
        <w:tblLook w:val="04A0" w:firstRow="1" w:lastRow="0" w:firstColumn="1" w:lastColumn="0" w:noHBand="0" w:noVBand="1"/>
        <w:tblCaption w:val="Kamienie milowe."/>
      </w:tblPr>
      <w:tblGrid>
        <w:gridCol w:w="2708"/>
        <w:gridCol w:w="1476"/>
        <w:gridCol w:w="1329"/>
        <w:gridCol w:w="1362"/>
        <w:gridCol w:w="2773"/>
      </w:tblGrid>
      <w:tr w:rsidR="00697D52" w:rsidRPr="00B213D8" w14:paraId="55961592" w14:textId="77777777" w:rsidTr="00CE6171">
        <w:trPr>
          <w:tblHeader/>
        </w:trPr>
        <w:tc>
          <w:tcPr>
            <w:tcW w:w="1403" w:type="pct"/>
            <w:shd w:val="clear" w:color="auto" w:fill="D0CECE" w:themeFill="background2" w:themeFillShade="E6"/>
          </w:tcPr>
          <w:p w14:paraId="7B450A2E" w14:textId="6C7205D2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9" w:type="pct"/>
            <w:shd w:val="clear" w:color="auto" w:fill="D0CECE" w:themeFill="background2" w:themeFillShade="E6"/>
          </w:tcPr>
          <w:p w14:paraId="19CAB3EF" w14:textId="77777777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706" w:type="pct"/>
            <w:shd w:val="clear" w:color="auto" w:fill="D0CECE" w:themeFill="background2" w:themeFillShade="E6"/>
          </w:tcPr>
          <w:p w14:paraId="10659A37" w14:textId="77777777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437" w:type="pct"/>
            <w:shd w:val="clear" w:color="auto" w:fill="D0CECE" w:themeFill="background2" w:themeFillShade="E6"/>
          </w:tcPr>
          <w:p w14:paraId="24D9E0E9" w14:textId="77777777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697D52" w:rsidRPr="00B213D8" w14:paraId="515FB2D9" w14:textId="77777777" w:rsidTr="00CE6171">
        <w:tc>
          <w:tcPr>
            <w:tcW w:w="1403" w:type="pct"/>
          </w:tcPr>
          <w:p w14:paraId="4A68A0D6" w14:textId="65BABCF7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1673" w14:textId="4F07408B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13CF20D" w14:textId="2349A9BF" w:rsidR="00697D52" w:rsidRPr="00B213D8" w:rsidRDefault="00FE2F40" w:rsidP="00933EA2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0A1EA003" w14:textId="20207D59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F0CB4B1" w14:textId="77777777" w:rsidR="00697D52" w:rsidRPr="00B213D8" w:rsidRDefault="00697D52" w:rsidP="00CC7B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557CE435" w14:textId="77777777" w:rsidR="00C37B10" w:rsidRPr="00B213D8" w:rsidRDefault="00C37B10" w:rsidP="00CC7B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58A6EB" w14:textId="64F0D9BE" w:rsidR="00AC13BB" w:rsidRPr="00B213D8" w:rsidRDefault="00AC13BB" w:rsidP="000B35E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06DE3DD2" w14:textId="77777777" w:rsidR="00C37B10" w:rsidRPr="00B213D8" w:rsidRDefault="003C422E" w:rsidP="000B35E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Przekroczenie terminów kamienia milowego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spowodowane było opóźnieniami występującymi w rekrutacji i oddelegowaniu pracowników do realizacji projektu, co opóźniło podjęcie działań w zakresie przygotowania i przeprowadzenia postępowania na wybór Wykonawców usług.</w:t>
            </w:r>
          </w:p>
          <w:p w14:paraId="16F65511" w14:textId="77777777" w:rsidR="00AC13BB" w:rsidRPr="00B213D8" w:rsidRDefault="00AC13BB" w:rsidP="000B35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2A345D" w14:textId="77777777" w:rsidR="00AC13BB" w:rsidRPr="00B213D8" w:rsidRDefault="00AC13BB" w:rsidP="000B35E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ŚRODKI ZARADCZE</w:t>
            </w:r>
          </w:p>
          <w:p w14:paraId="2425C94A" w14:textId="5D6A7A7B" w:rsidR="00AC13BB" w:rsidRPr="00B213D8" w:rsidRDefault="00D62774" w:rsidP="00D6277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Beneficjent podjął działania zaradcze, które mimo opóźnienia umożliwią 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osiągnięcie wskaźników projektu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oraz dotrzymanie 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terminu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realizacji projektu.</w:t>
            </w:r>
          </w:p>
          <w:p w14:paraId="19DCAD21" w14:textId="77777777" w:rsidR="00D62774" w:rsidRPr="00B213D8" w:rsidRDefault="00D62774" w:rsidP="00D62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7BC9E" w14:textId="24ED40ED" w:rsidR="00D62774" w:rsidRPr="00B213D8" w:rsidRDefault="00EA606B" w:rsidP="00D6277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dniu 11.12.2018 r.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podpisano Umowę z Wykonawcą usługi w ramach zamówienia pn. Zarządzanie projektem.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Tym samym zakres kamienia milowego został częściowo zrealizowany.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Opóźnienie wynikało z konieczności przeprowadzenia drugiego postępowania (pierwsze postępowanie na wybór podmiotu zarządzającego projektem – ogłoszone dnia 27.09.2018 –  zostało zakończone odmową podpisania Umowy przez Wykonawcę).</w:t>
            </w:r>
          </w:p>
          <w:p w14:paraId="0D04354C" w14:textId="77777777" w:rsidR="00EA606B" w:rsidRPr="00B213D8" w:rsidRDefault="00EA606B" w:rsidP="00D62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ABD975" w14:textId="465D04AA" w:rsidR="00D62774" w:rsidRPr="00B213D8" w:rsidRDefault="00EA606B" w:rsidP="00D6277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celu uniknięcia problemów o podobnym charakterze w przyszłości 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>Dyrekcja IPiN podjęła decyzję, że wszystkie postępowania przetargowe będzie przeprowadzał Wykonawca usługi zarządzania projektem.</w:t>
            </w:r>
          </w:p>
          <w:p w14:paraId="054F3756" w14:textId="77777777" w:rsidR="00EA606B" w:rsidRPr="00B213D8" w:rsidRDefault="00EA606B" w:rsidP="00D62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8C5B3" w14:textId="515ADFD6" w:rsidR="00D62774" w:rsidRPr="00B213D8" w:rsidRDefault="00D62774" w:rsidP="00D6277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Beneficjent wraz z wybranym podmiotem zarządzającym </w:t>
            </w:r>
            <w:r w:rsidR="004B2696" w:rsidRPr="00B213D8">
              <w:rPr>
                <w:rFonts w:ascii="Arial" w:hAnsi="Arial" w:cs="Arial"/>
                <w:sz w:val="20"/>
                <w:szCs w:val="20"/>
              </w:rPr>
              <w:t xml:space="preserve">zaproponowali aktualizację 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Harmonogramu wyznaczającego kamienie milowe (w dniu 14.02.2019 r. złożono stosowny wniosek o zmianę Harmonogramu do Instytucji Pośredniczącej) oraz podejmują działania w celu sprawnego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przeprowadzenia postępowań przetargowych.</w:t>
            </w:r>
          </w:p>
          <w:p w14:paraId="6B95049E" w14:textId="77777777" w:rsidR="00D62774" w:rsidRPr="00B213D8" w:rsidRDefault="00D62774" w:rsidP="00D62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D4AE9" w14:textId="3885B094" w:rsidR="00D62774" w:rsidRPr="00B213D8" w:rsidRDefault="004B2696" w:rsidP="00C465DB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dokonał racjonalizacji Harmonogramu i zaplanował w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>ybór wykonaw</w:t>
            </w:r>
            <w:r w:rsidRPr="00B213D8">
              <w:rPr>
                <w:rFonts w:ascii="Arial" w:hAnsi="Arial" w:cs="Arial"/>
                <w:sz w:val="20"/>
                <w:szCs w:val="20"/>
              </w:rPr>
              <w:t>ców dwóch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pozostałych usług (audytu zgodności z WCAG 2.0 oraz audytu w zakresie wdrażania krajowych i międzynarodowych standardów), wchodzących w zakres kamienia milowego, </w:t>
            </w:r>
            <w:r w:rsidRPr="00B213D8">
              <w:rPr>
                <w:rFonts w:ascii="Arial" w:hAnsi="Arial" w:cs="Arial"/>
                <w:sz w:val="20"/>
                <w:szCs w:val="20"/>
              </w:rPr>
              <w:t>na początek III kwartału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2019 roku</w:t>
            </w:r>
            <w:r w:rsidR="00C465DB" w:rsidRPr="00B213D8">
              <w:rPr>
                <w:rFonts w:ascii="Arial" w:hAnsi="Arial" w:cs="Arial"/>
                <w:sz w:val="20"/>
                <w:szCs w:val="20"/>
              </w:rPr>
              <w:t>. Realizacja usług jest ściśle związana z dostarczeniem wersji produkcyjnej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portalu do udostępniania zasobów.</w:t>
            </w:r>
          </w:p>
        </w:tc>
      </w:tr>
      <w:tr w:rsidR="00697D52" w:rsidRPr="00B213D8" w14:paraId="2EAE439B" w14:textId="77777777" w:rsidTr="00CE6171">
        <w:tc>
          <w:tcPr>
            <w:tcW w:w="1403" w:type="pct"/>
          </w:tcPr>
          <w:p w14:paraId="783AE3EA" w14:textId="05277655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Kontrola jakości w zakresie wdrażania krajowych i międzynarodowych norm, WCAG 2.0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6DC4" w14:textId="1784719D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56ED9EF1" w14:textId="59B327D2" w:rsidR="00697D52" w:rsidRPr="00B213D8" w:rsidRDefault="00FE2F40" w:rsidP="00933EA2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706" w:type="pct"/>
          </w:tcPr>
          <w:p w14:paraId="74F759DE" w14:textId="1975914E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503F7D14" w14:textId="7B390A2F" w:rsidR="00576828" w:rsidRPr="00B213D8" w:rsidRDefault="00697D52" w:rsidP="00576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97D52" w:rsidRPr="00B213D8" w14:paraId="2ED310BD" w14:textId="77777777" w:rsidTr="00CE6171">
        <w:tc>
          <w:tcPr>
            <w:tcW w:w="1403" w:type="pct"/>
          </w:tcPr>
          <w:p w14:paraId="483A033C" w14:textId="50583F36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EDA9" w14:textId="523D5F78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769C5691" w14:textId="490B9362" w:rsidR="00697D52" w:rsidRPr="00B213D8" w:rsidRDefault="00D764C9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66B1E159" w14:textId="3B07DC09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7" w:type="pct"/>
          </w:tcPr>
          <w:p w14:paraId="1A791EA4" w14:textId="77777777" w:rsidR="00FE2F40" w:rsidRPr="00B213D8" w:rsidRDefault="00697D52" w:rsidP="000234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19B51D7B" w14:textId="77777777" w:rsidR="00D764C9" w:rsidRPr="00B213D8" w:rsidRDefault="00D764C9" w:rsidP="0002343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C50798" w14:textId="6F73E7C2" w:rsidR="003F55F1" w:rsidRPr="00B213D8" w:rsidRDefault="003F55F1" w:rsidP="0002343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11F0A18" w14:textId="238C9A1D" w:rsidR="00D764C9" w:rsidRPr="00B213D8" w:rsidRDefault="00D764C9" w:rsidP="0096012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zakresie rekrutacji i oddelegowaniu pracowników do realizacji projektu było spowodowane dwumiesięcznym </w:t>
            </w:r>
            <w:r w:rsidR="00960120"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="00960120"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 w:rsidR="00960120"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697D52" w:rsidRPr="00B213D8" w14:paraId="3AF5148F" w14:textId="77777777" w:rsidTr="00CE6171">
        <w:tc>
          <w:tcPr>
            <w:tcW w:w="1403" w:type="pct"/>
          </w:tcPr>
          <w:p w14:paraId="2F519BF0" w14:textId="4CFE3F23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1E3A" w14:textId="7A34AF7E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460C8152" w14:textId="5310EB11" w:rsidR="00697D52" w:rsidRPr="00B213D8" w:rsidRDefault="00FE2F40" w:rsidP="00FE2F4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706" w:type="pct"/>
          </w:tcPr>
          <w:p w14:paraId="68C9EFFE" w14:textId="0B677D18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83504B2" w14:textId="77777777" w:rsidR="009002D1" w:rsidRPr="00B213D8" w:rsidRDefault="009002D1" w:rsidP="009002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501E1B3" w14:textId="77777777" w:rsidR="009002D1" w:rsidRPr="00B213D8" w:rsidRDefault="009002D1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2865A" w14:textId="6975F858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643C8357" w14:textId="77777777" w:rsidR="009002D1" w:rsidRPr="00B213D8" w:rsidRDefault="009002D1" w:rsidP="009002D1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w dniu 07.08.2018 r. wszczął postępowanie na wybór Wykonawcy prac związanych z dostosowaniem pomieszczeń. W wyniku przeprowadzonego postępowania wpłynęły oferty znacząco przewyższające kwotę, którą Beneficjent zamierza przeznaczyć na realizację zamówienia. W związku z tym postępowanie zostało unieważnione dnia 23.08.2018 r.</w:t>
            </w:r>
          </w:p>
          <w:p w14:paraId="514671AE" w14:textId="77777777" w:rsidR="00913102" w:rsidRPr="00B213D8" w:rsidRDefault="00913102" w:rsidP="001057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7E7D81" w14:textId="77777777" w:rsidR="00913102" w:rsidRPr="00B213D8" w:rsidRDefault="00913102" w:rsidP="001057D3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ŚRODKI ZARADCZE</w:t>
            </w:r>
          </w:p>
          <w:p w14:paraId="24D098BD" w14:textId="77777777" w:rsidR="00913102" w:rsidRDefault="009002D1" w:rsidP="003F55F1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 xml:space="preserve">W trosce o prawidłową realizację projektu Dyrekcja IPiN podjęła decyzję, że wszystkie postępowania przetargowe będzie przeprowadzał Wykonawca usługi </w:t>
            </w:r>
            <w:r w:rsidR="008F24C4" w:rsidRPr="00B213D8">
              <w:rPr>
                <w:rFonts w:ascii="Arial" w:hAnsi="Arial" w:cs="Arial"/>
                <w:sz w:val="20"/>
                <w:szCs w:val="20"/>
              </w:rPr>
              <w:t>z</w:t>
            </w:r>
            <w:r w:rsidRPr="00B213D8">
              <w:rPr>
                <w:rFonts w:ascii="Arial" w:hAnsi="Arial" w:cs="Arial"/>
                <w:sz w:val="20"/>
                <w:szCs w:val="20"/>
              </w:rPr>
              <w:t>arządzania projektem. W związku z rozpoczęciem prac przez podmiot zarządzający projektem w połowie grudnia 2018 r. podejmowane są kroki niezbędne do szybkiego przeprowadzenia zaległych postępowań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. Opóźnienia w osiągnięciu kamienia milowego nie spowodują opóźnienia w zakończeniu projektu</w:t>
            </w:r>
            <w:r w:rsidRPr="00B213D8">
              <w:rPr>
                <w:rFonts w:ascii="Arial" w:hAnsi="Arial" w:cs="Arial"/>
                <w:sz w:val="20"/>
                <w:szCs w:val="20"/>
              </w:rPr>
              <w:t>.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08CEDF" w14:textId="628BFAD0" w:rsidR="00742320" w:rsidRPr="00B213D8" w:rsidRDefault="00742320" w:rsidP="00742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Beneficjent oczekuje na zgodę IP na przesunięcie zaoszczędzonych środków na niniejsze zadanie. </w:t>
            </w:r>
          </w:p>
        </w:tc>
      </w:tr>
      <w:tr w:rsidR="00697D52" w:rsidRPr="00B213D8" w14:paraId="4B6948E4" w14:textId="77777777" w:rsidTr="00CE6171">
        <w:tc>
          <w:tcPr>
            <w:tcW w:w="1403" w:type="pct"/>
          </w:tcPr>
          <w:p w14:paraId="6748425D" w14:textId="12A1BA19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D708" w14:textId="420FFB9E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1F14214E" w14:textId="546C4DB5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624E672E" w14:textId="5201ED9D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2A1A5D5D" w14:textId="77777777" w:rsidR="009002D1" w:rsidRPr="00B213D8" w:rsidRDefault="009002D1" w:rsidP="009002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507C8210" w14:textId="77777777" w:rsidR="009002D1" w:rsidRPr="00B213D8" w:rsidRDefault="009002D1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C49B0E" w14:textId="3546DA40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A7D630A" w14:textId="7AA358EC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B213D8">
              <w:rPr>
                <w:rFonts w:ascii="Arial" w:hAnsi="Arial" w:cs="Arial"/>
                <w:sz w:val="20"/>
                <w:szCs w:val="20"/>
              </w:rPr>
              <w:t>ybor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ze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podmiotu zarządzającego projektem</w:t>
            </w:r>
            <w:r w:rsidR="00AA47D4">
              <w:rPr>
                <w:rFonts w:ascii="Arial" w:hAnsi="Arial" w:cs="Arial"/>
                <w:sz w:val="20"/>
                <w:szCs w:val="20"/>
              </w:rPr>
              <w:t xml:space="preserve"> oraz t</w:t>
            </w:r>
            <w:r w:rsidR="00D642A0">
              <w:rPr>
                <w:rFonts w:ascii="Arial" w:hAnsi="Arial" w:cs="Arial"/>
                <w:sz w:val="20"/>
                <w:szCs w:val="20"/>
              </w:rPr>
              <w:t>rudności w pozyskaniu wykonawców (dostawców) poszczególnych części zadania</w:t>
            </w:r>
            <w:r w:rsidR="002D3CD6">
              <w:rPr>
                <w:rFonts w:ascii="Arial" w:hAnsi="Arial" w:cs="Arial"/>
                <w:sz w:val="20"/>
                <w:szCs w:val="20"/>
              </w:rPr>
              <w:t xml:space="preserve">. Często </w:t>
            </w:r>
            <w:r w:rsidR="00F96CFA">
              <w:rPr>
                <w:rFonts w:ascii="Arial" w:hAnsi="Arial" w:cs="Arial"/>
                <w:sz w:val="20"/>
                <w:szCs w:val="20"/>
              </w:rPr>
              <w:t xml:space="preserve">składane </w:t>
            </w:r>
            <w:r w:rsidR="002D3CD6">
              <w:rPr>
                <w:rFonts w:ascii="Arial" w:hAnsi="Arial" w:cs="Arial"/>
                <w:sz w:val="20"/>
                <w:szCs w:val="20"/>
              </w:rPr>
              <w:t>oferty przewyższały kwotą budżet Beneficjenta</w:t>
            </w:r>
            <w:r w:rsidR="00F96CFA">
              <w:rPr>
                <w:rFonts w:ascii="Arial" w:hAnsi="Arial" w:cs="Arial"/>
                <w:sz w:val="20"/>
                <w:szCs w:val="20"/>
              </w:rPr>
              <w:t xml:space="preserve">, a także wykonawcy </w:t>
            </w:r>
            <w:r w:rsidR="002D3CD6">
              <w:rPr>
                <w:rFonts w:ascii="Arial" w:hAnsi="Arial" w:cs="Arial"/>
                <w:sz w:val="20"/>
                <w:szCs w:val="20"/>
              </w:rPr>
              <w:t>wycofyw</w:t>
            </w:r>
            <w:r w:rsidR="00F96CFA">
              <w:rPr>
                <w:rFonts w:ascii="Arial" w:hAnsi="Arial" w:cs="Arial"/>
                <w:sz w:val="20"/>
                <w:szCs w:val="20"/>
              </w:rPr>
              <w:t>ali swoje</w:t>
            </w:r>
            <w:r w:rsidR="002D3CD6">
              <w:rPr>
                <w:rFonts w:ascii="Arial" w:hAnsi="Arial" w:cs="Arial"/>
                <w:sz w:val="20"/>
                <w:szCs w:val="20"/>
              </w:rPr>
              <w:t xml:space="preserve"> oferty przed podpisaniem umowy </w:t>
            </w:r>
            <w:r w:rsidR="00F96CFA">
              <w:rPr>
                <w:rFonts w:ascii="Arial" w:hAnsi="Arial" w:cs="Arial"/>
                <w:sz w:val="20"/>
                <w:szCs w:val="20"/>
              </w:rPr>
              <w:t xml:space="preserve">(np. </w:t>
            </w:r>
            <w:r w:rsidR="002D3CD6">
              <w:rPr>
                <w:rFonts w:ascii="Arial" w:hAnsi="Arial" w:cs="Arial"/>
                <w:sz w:val="20"/>
                <w:szCs w:val="20"/>
              </w:rPr>
              <w:t>z powodu braków w swoich zasobach</w:t>
            </w:r>
            <w:r w:rsidR="00F96CFA">
              <w:rPr>
                <w:rFonts w:ascii="Arial" w:hAnsi="Arial" w:cs="Arial"/>
                <w:sz w:val="20"/>
                <w:szCs w:val="20"/>
              </w:rPr>
              <w:t>)</w:t>
            </w:r>
            <w:r w:rsidR="002D3C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41FC93" w14:textId="77777777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AB07" w14:textId="31961945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</w:t>
            </w:r>
            <w:r w:rsidR="003F55F1" w:rsidRPr="00B213D8">
              <w:rPr>
                <w:rFonts w:ascii="Arial" w:hAnsi="Arial" w:cs="Arial"/>
                <w:sz w:val="20"/>
                <w:szCs w:val="20"/>
                <w:u w:val="single"/>
              </w:rPr>
              <w:t>DKI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 xml:space="preserve"> ZARADCZ</w:t>
            </w:r>
            <w:r w:rsidR="003F55F1" w:rsidRPr="00B213D8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</w:p>
          <w:p w14:paraId="01E15416" w14:textId="655C2682" w:rsidR="00913102" w:rsidRPr="00B213D8" w:rsidRDefault="00F96CFA" w:rsidP="009002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D47109" w:rsidRPr="00B213D8">
              <w:rPr>
                <w:rFonts w:ascii="Arial" w:hAnsi="Arial" w:cs="Arial"/>
                <w:sz w:val="20"/>
                <w:szCs w:val="20"/>
              </w:rPr>
              <w:t>drożono procedury efektywnej publikacji postępowań o udzielenie zamówień publicznych. Przyjęto podejście zakładające podział przedmiotu zamówienia na możliwie wiele homogenicznych części (pakietów) o niższej jednostkowej wartości. Podejście ma na celu zwiększenie konkurencyjności i zwiększenie prawdopodobieństwa szybkiego wyłonienia wykonawców.</w:t>
            </w:r>
          </w:p>
          <w:p w14:paraId="7318B1BB" w14:textId="77777777" w:rsidR="00D47109" w:rsidRPr="00B213D8" w:rsidRDefault="00D47109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6F76D9" w14:textId="198D9929" w:rsidR="009C7E84" w:rsidRDefault="00913102" w:rsidP="0091310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W wyniku przeprowadzon</w:t>
            </w:r>
            <w:r w:rsidR="00D642A0">
              <w:rPr>
                <w:rFonts w:ascii="Arial" w:hAnsi="Arial" w:cs="Arial"/>
                <w:sz w:val="20"/>
                <w:szCs w:val="20"/>
              </w:rPr>
              <w:t>ych postępowań (w tym</w:t>
            </w:r>
            <w:r w:rsidR="009C7E84">
              <w:rPr>
                <w:rFonts w:ascii="Arial" w:hAnsi="Arial" w:cs="Arial"/>
                <w:sz w:val="20"/>
                <w:szCs w:val="20"/>
              </w:rPr>
              <w:t xml:space="preserve"> powtó</w:t>
            </w:r>
            <w:r w:rsidR="00D642A0">
              <w:rPr>
                <w:rFonts w:ascii="Arial" w:hAnsi="Arial" w:cs="Arial"/>
                <w:sz w:val="20"/>
                <w:szCs w:val="20"/>
              </w:rPr>
              <w:t>rnych</w:t>
            </w:r>
            <w:r w:rsidR="009C7E84">
              <w:rPr>
                <w:rFonts w:ascii="Arial" w:hAnsi="Arial" w:cs="Arial"/>
                <w:sz w:val="20"/>
                <w:szCs w:val="20"/>
              </w:rPr>
              <w:t xml:space="preserve"> postępowań) wybrano i zawarto umowy z wykonawcami</w:t>
            </w:r>
            <w:r w:rsidR="009F7C0B">
              <w:rPr>
                <w:rFonts w:ascii="Arial" w:hAnsi="Arial" w:cs="Arial"/>
                <w:sz w:val="20"/>
                <w:szCs w:val="20"/>
              </w:rPr>
              <w:t>/</w:t>
            </w:r>
            <w:r w:rsidR="009C7E84">
              <w:rPr>
                <w:rFonts w:ascii="Arial" w:hAnsi="Arial" w:cs="Arial"/>
                <w:sz w:val="20"/>
                <w:szCs w:val="20"/>
              </w:rPr>
              <w:t>dostawcami 5 z 6 elementów zadania, tj.:</w:t>
            </w:r>
          </w:p>
          <w:p w14:paraId="342027E7" w14:textId="4CAD5C3A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mikroskopów (data podpisania umowy: 05.03.2019);</w:t>
            </w:r>
          </w:p>
          <w:p w14:paraId="50A7A3CE" w14:textId="537B6D47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stołów do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makroobrazowania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(data podpisania umowy: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25.03.2019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411C2B2A" w14:textId="2D605816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serwerów (data podpisania umowy: 08.04.2019);</w:t>
            </w:r>
          </w:p>
          <w:p w14:paraId="549C1465" w14:textId="73A0D897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laptopów (data podpisania umowy: 08.04.2019);</w:t>
            </w:r>
          </w:p>
          <w:p w14:paraId="641FFD89" w14:textId="1D15F549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aparatów fotograficznych (data podpisania umowy: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28.05.2019)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D9323D" w14:textId="3C17E0DF" w:rsidR="00913102" w:rsidRPr="00B213D8" w:rsidRDefault="00D642A0" w:rsidP="003F5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Ostatni element – pozyskanie licencji na oprogramowania – ze względu na oferty, których kwoty przekraczają kwotę Beneficjenta nie został wybrany wykonawca. Beneficjent wszczął działania zmierzające do przesunięcia zaoszczędzonych na innych zadaniach środków na</w:t>
            </w:r>
            <w:r w:rsidR="006B4D13">
              <w:rPr>
                <w:rFonts w:ascii="Arial" w:hAnsi="Arial" w:cs="Arial"/>
                <w:sz w:val="20"/>
                <w:szCs w:val="20"/>
              </w:rPr>
              <w:t xml:space="preserve"> przedmiotowy komponent zadania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(trwa oczekiwanie na zgodę </w:t>
            </w:r>
            <w:r w:rsidR="009D2A8F">
              <w:rPr>
                <w:rFonts w:ascii="Arial" w:hAnsi="Arial" w:cs="Arial"/>
                <w:sz w:val="20"/>
                <w:szCs w:val="20"/>
              </w:rPr>
              <w:t>CPPC</w:t>
            </w:r>
            <w:r w:rsidR="00742320">
              <w:rPr>
                <w:rFonts w:ascii="Arial" w:hAnsi="Arial" w:cs="Arial"/>
                <w:sz w:val="20"/>
                <w:szCs w:val="20"/>
              </w:rPr>
              <w:t>)</w:t>
            </w:r>
            <w:r w:rsidR="006B4D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97D52" w:rsidRPr="00B213D8" w14:paraId="3119CDA2" w14:textId="77777777" w:rsidTr="00CE6171">
        <w:tc>
          <w:tcPr>
            <w:tcW w:w="1403" w:type="pct"/>
          </w:tcPr>
          <w:p w14:paraId="522D740D" w14:textId="3A876AEB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Odbiór sprzętu i oprogramowania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FEA6" w14:textId="5B2C002F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443AFDAC" w14:textId="1AB3E98C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26228162" w14:textId="2F057681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CA08BD7" w14:textId="2FFBE91F" w:rsidR="00697D52" w:rsidRPr="00B213D8" w:rsidRDefault="00D642A0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62174DA" w14:textId="77777777" w:rsidR="00FE2F40" w:rsidRPr="00B213D8" w:rsidRDefault="00FE2F40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E6EEAB" w14:textId="77777777" w:rsidR="003F55F1" w:rsidRPr="00B213D8" w:rsidRDefault="003F55F1" w:rsidP="003F55F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FF0CA1F" w14:textId="2CF406EF" w:rsidR="00FE2F40" w:rsidRPr="00B213D8" w:rsidRDefault="00D642A0" w:rsidP="00D471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jednego z elementów zadania nie został jeszcze pozyskany, </w:t>
            </w:r>
            <w:r w:rsidR="004E351B" w:rsidRPr="00B213D8">
              <w:rPr>
                <w:rFonts w:ascii="Arial" w:hAnsi="Arial" w:cs="Arial"/>
                <w:sz w:val="20"/>
                <w:szCs w:val="20"/>
              </w:rPr>
              <w:t xml:space="preserve">więc </w:t>
            </w:r>
            <w:r w:rsidR="009002D1" w:rsidRPr="00B213D8">
              <w:rPr>
                <w:rFonts w:ascii="Arial" w:hAnsi="Arial" w:cs="Arial"/>
                <w:sz w:val="20"/>
                <w:szCs w:val="20"/>
              </w:rPr>
              <w:t>nie było możliwości osiągnięcia niniejszego kamienia milowego.</w:t>
            </w:r>
            <w:r w:rsidR="009E0464"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87001F" w14:textId="77777777" w:rsidR="00D47109" w:rsidRPr="00B213D8" w:rsidRDefault="00D47109" w:rsidP="00D471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39AE5" w14:textId="77777777" w:rsidR="00D47109" w:rsidRPr="00B213D8" w:rsidRDefault="00D47109" w:rsidP="00D4710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ŚRODKI ZARADCZE</w:t>
            </w:r>
          </w:p>
          <w:p w14:paraId="67E92D3C" w14:textId="77777777" w:rsidR="00D47109" w:rsidRDefault="00D47109" w:rsidP="00D471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Zwiększenie efektywności pozyskania wykonawców zgodnie z podejściem zaproponowanym przy kamieniu milowym „Zakończenie postępowania w celu wyłonienia dostawcy sprzętów i programów”.</w:t>
            </w:r>
          </w:p>
          <w:p w14:paraId="77793534" w14:textId="77777777" w:rsidR="00D642A0" w:rsidRDefault="00D642A0" w:rsidP="00D471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0F515" w14:textId="67EC1B28" w:rsidR="000162F5" w:rsidRDefault="009F7C0B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0162F5">
              <w:rPr>
                <w:rFonts w:ascii="Arial" w:hAnsi="Arial" w:cs="Arial"/>
                <w:sz w:val="20"/>
                <w:szCs w:val="20"/>
              </w:rPr>
              <w:t xml:space="preserve"> z 6 elementów zadania został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162F5">
              <w:rPr>
                <w:rFonts w:ascii="Arial" w:hAnsi="Arial" w:cs="Arial"/>
                <w:sz w:val="20"/>
                <w:szCs w:val="20"/>
              </w:rPr>
              <w:t xml:space="preserve"> dostarczon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0162F5">
              <w:rPr>
                <w:rFonts w:ascii="Arial" w:hAnsi="Arial" w:cs="Arial"/>
                <w:sz w:val="20"/>
                <w:szCs w:val="20"/>
              </w:rPr>
              <w:t xml:space="preserve"> i odebran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0162F5">
              <w:rPr>
                <w:rFonts w:ascii="Arial" w:hAnsi="Arial" w:cs="Arial"/>
                <w:sz w:val="20"/>
                <w:szCs w:val="20"/>
              </w:rPr>
              <w:t>, tj.:</w:t>
            </w:r>
          </w:p>
          <w:p w14:paraId="7F16E557" w14:textId="74EFE6D8" w:rsidR="000162F5" w:rsidRDefault="000162F5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mikroskopów;</w:t>
            </w:r>
          </w:p>
          <w:p w14:paraId="2C693C15" w14:textId="1CFCDC37" w:rsidR="000162F5" w:rsidRDefault="000162F5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stołów do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makro</w:t>
            </w:r>
            <w:r>
              <w:rPr>
                <w:rFonts w:ascii="Arial" w:hAnsi="Arial" w:cs="Arial"/>
                <w:sz w:val="20"/>
                <w:szCs w:val="20"/>
              </w:rPr>
              <w:t>obrazowania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32C6AC" w14:textId="48C111E0" w:rsidR="000162F5" w:rsidRDefault="000162F5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serwerów;</w:t>
            </w:r>
          </w:p>
          <w:p w14:paraId="4EDB6D17" w14:textId="363D5C35" w:rsidR="000162F5" w:rsidRDefault="000162F5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laptopów</w:t>
            </w:r>
            <w:r w:rsidR="009F7C0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CA5489" w14:textId="0E9D081C" w:rsidR="00D642A0" w:rsidRPr="000162F5" w:rsidRDefault="009F7C0B" w:rsidP="009F7C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Dostawa aparatów fotograficznych zostanie zrealizowana w 3 kw. 2019 r., a ostatni </w:t>
            </w:r>
            <w:r w:rsidR="000162F5">
              <w:rPr>
                <w:rFonts w:ascii="Arial" w:hAnsi="Arial" w:cs="Arial"/>
                <w:sz w:val="20"/>
                <w:szCs w:val="20"/>
              </w:rPr>
              <w:t>element (licencje na oprogramowania) z uwagi na przyczyny wskazane w uzasadnieniu dla kamienia „</w:t>
            </w:r>
            <w:r w:rsidR="000162F5"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sprzętów i programów</w:t>
            </w:r>
            <w:r w:rsidR="000162F5">
              <w:rPr>
                <w:rFonts w:ascii="Arial" w:hAnsi="Arial" w:cs="Arial"/>
                <w:sz w:val="20"/>
                <w:szCs w:val="20"/>
              </w:rPr>
              <w:t xml:space="preserve">” nie został 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 w:rsidR="000162F5">
              <w:rPr>
                <w:rFonts w:ascii="Arial" w:hAnsi="Arial" w:cs="Arial"/>
                <w:sz w:val="20"/>
                <w:szCs w:val="20"/>
              </w:rPr>
              <w:t>odebrany. Element ten w dokumentacji aplikacyjnej szacowany był na ok 25 000 zł, co stanowi 2% wartości pozostałych elementów zadania.</w:t>
            </w:r>
          </w:p>
        </w:tc>
      </w:tr>
      <w:tr w:rsidR="00697D52" w:rsidRPr="00B213D8" w14:paraId="576B62AE" w14:textId="77777777" w:rsidTr="00CE6171">
        <w:tc>
          <w:tcPr>
            <w:tcW w:w="1403" w:type="pct"/>
          </w:tcPr>
          <w:p w14:paraId="4207E300" w14:textId="5BCA0EF1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Przeprowadzenie szkolenia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4993" w14:textId="59CDB394" w:rsidR="00697D52" w:rsidRPr="00B213D8" w:rsidRDefault="00697D52" w:rsidP="004C46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89" w:type="pct"/>
          </w:tcPr>
          <w:p w14:paraId="5DBF5D53" w14:textId="170F2050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116C1997" w14:textId="5587A6D7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798799BA" w14:textId="77777777" w:rsidR="00697D52" w:rsidRPr="00B213D8" w:rsidRDefault="00697D52" w:rsidP="008062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622167BC" w14:textId="77777777" w:rsidR="009002D1" w:rsidRPr="00B213D8" w:rsidRDefault="009002D1" w:rsidP="008062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4F832B" w14:textId="750635F4" w:rsidR="003F55F1" w:rsidRPr="00B213D8" w:rsidRDefault="003F55F1" w:rsidP="0080626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059C59A" w14:textId="0FEDA13E" w:rsidR="009002D1" w:rsidRPr="00B213D8" w:rsidRDefault="009002D1" w:rsidP="00D471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związku z brakiem </w:t>
            </w:r>
            <w:r w:rsidR="000B35EF" w:rsidRPr="00B213D8">
              <w:rPr>
                <w:rFonts w:ascii="Arial" w:hAnsi="Arial" w:cs="Arial"/>
                <w:sz w:val="20"/>
                <w:szCs w:val="20"/>
              </w:rPr>
              <w:t xml:space="preserve">dokonania </w:t>
            </w:r>
            <w:r w:rsidRPr="00B213D8">
              <w:rPr>
                <w:rFonts w:ascii="Arial" w:hAnsi="Arial" w:cs="Arial"/>
                <w:sz w:val="20"/>
                <w:szCs w:val="20"/>
              </w:rPr>
              <w:t>wyb</w:t>
            </w:r>
            <w:r w:rsidR="000B35EF" w:rsidRPr="00B213D8">
              <w:rPr>
                <w:rFonts w:ascii="Arial" w:hAnsi="Arial" w:cs="Arial"/>
                <w:sz w:val="20"/>
                <w:szCs w:val="20"/>
              </w:rPr>
              <w:t>oru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Wykonawcy realizacji dostosowania pomieszczeń oraz Dostawcy sprzętu i oprogramowania nie zrealizowano kamienia milowego w zakładanym terminie. </w:t>
            </w:r>
            <w:r w:rsidR="000763DD" w:rsidRPr="00B213D8">
              <w:rPr>
                <w:rFonts w:ascii="Arial" w:hAnsi="Arial" w:cs="Arial"/>
                <w:sz w:val="20"/>
                <w:szCs w:val="20"/>
              </w:rPr>
              <w:t xml:space="preserve">Zakres kamienia milowego obejmuje </w:t>
            </w:r>
            <w:r w:rsidRPr="00B213D8">
              <w:rPr>
                <w:rFonts w:ascii="Arial" w:hAnsi="Arial" w:cs="Arial"/>
                <w:sz w:val="20"/>
                <w:szCs w:val="20"/>
              </w:rPr>
              <w:t>przeprowadzenie 3 bloków szkoleń po jednym w każdym roku realizacji projektu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.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W 2018 roku zrealizowano pierwszy blok szkoleniowy.</w:t>
            </w:r>
          </w:p>
          <w:p w14:paraId="1EFE7FD6" w14:textId="77777777" w:rsidR="00D47109" w:rsidRPr="00B213D8" w:rsidRDefault="00D47109" w:rsidP="00D471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7AF4E2" w14:textId="6483BCB5" w:rsidR="00D47109" w:rsidRPr="00B213D8" w:rsidRDefault="00D47109" w:rsidP="00D4710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</w:t>
            </w:r>
            <w:r w:rsidR="00CD0BC7" w:rsidRPr="00B213D8">
              <w:rPr>
                <w:rFonts w:ascii="Arial" w:hAnsi="Arial" w:cs="Arial"/>
                <w:sz w:val="20"/>
                <w:szCs w:val="20"/>
                <w:u w:val="single"/>
              </w:rPr>
              <w:t>KI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 xml:space="preserve"> ZARADCZ</w:t>
            </w:r>
            <w:r w:rsidR="00CD0BC7" w:rsidRPr="00B213D8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</w:p>
          <w:p w14:paraId="7B1E6090" w14:textId="3D1F30D9" w:rsidR="002C4696" w:rsidRPr="00B213D8" w:rsidRDefault="00D47109" w:rsidP="002C4696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Na skutek racjonalizacji działań podejmowanych w ramach projektu podjęto decyzję</w:t>
            </w:r>
            <w:r w:rsidR="002C4696" w:rsidRPr="00B213D8">
              <w:rPr>
                <w:rFonts w:ascii="Arial" w:hAnsi="Arial" w:cs="Arial"/>
                <w:sz w:val="20"/>
                <w:szCs w:val="20"/>
              </w:rPr>
              <w:t>, że szkolenia powinny mieć charakter cykliczny i odbywać się rokrocznie. Oznacza to konieczność zmiany terminu osiągniecia kamienia milowego i przesunięcia go na listopad 2020 r. Zmiana znalazła odzwierciedlenie w propozycji zmian Harmonogramu.</w:t>
            </w:r>
          </w:p>
        </w:tc>
      </w:tr>
      <w:tr w:rsidR="00697D52" w:rsidRPr="00B213D8" w14:paraId="6D958290" w14:textId="77777777" w:rsidTr="00CE6171">
        <w:tc>
          <w:tcPr>
            <w:tcW w:w="1403" w:type="pct"/>
          </w:tcPr>
          <w:p w14:paraId="6879DB34" w14:textId="17F455BC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sprzętu i wyposażenia archiwum modułowego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390D" w14:textId="1C3B17B8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628756C" w14:textId="0809D390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392D97F0" w14:textId="50186C75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A1E1154" w14:textId="440A16DA" w:rsidR="00697D52" w:rsidRPr="00B213D8" w:rsidRDefault="006C6B1D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E8BBA21" w14:textId="77777777" w:rsidR="00B657C8" w:rsidRPr="00B213D8" w:rsidRDefault="00B657C8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1F0F6C" w14:textId="77777777" w:rsidR="002C4696" w:rsidRPr="00B213D8" w:rsidRDefault="002C4696" w:rsidP="002C469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1991C31" w14:textId="77777777" w:rsidR="003F55F1" w:rsidRPr="00B213D8" w:rsidRDefault="003F55F1" w:rsidP="003F55F1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projektem.</w:t>
            </w:r>
          </w:p>
          <w:p w14:paraId="7537B252" w14:textId="77777777" w:rsidR="002C4696" w:rsidRPr="00B213D8" w:rsidRDefault="002C4696" w:rsidP="002C46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C0E54D" w14:textId="5263353A" w:rsidR="002C4696" w:rsidRPr="00B213D8" w:rsidRDefault="002C4696" w:rsidP="002C469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</w:t>
            </w:r>
            <w:r w:rsidR="003F55F1" w:rsidRPr="00B213D8">
              <w:rPr>
                <w:rFonts w:ascii="Arial" w:hAnsi="Arial" w:cs="Arial"/>
                <w:sz w:val="20"/>
                <w:szCs w:val="20"/>
                <w:u w:val="single"/>
              </w:rPr>
              <w:t>KI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 xml:space="preserve"> ZARADCZ</w:t>
            </w:r>
            <w:r w:rsidR="003F55F1" w:rsidRPr="00B213D8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</w:p>
          <w:p w14:paraId="2729C25F" w14:textId="469ECB65" w:rsidR="002C4696" w:rsidRPr="00B213D8" w:rsidRDefault="00F96CFA" w:rsidP="002C4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C4696" w:rsidRPr="00B213D8">
              <w:rPr>
                <w:rFonts w:ascii="Arial" w:hAnsi="Arial" w:cs="Arial"/>
                <w:sz w:val="20"/>
                <w:szCs w:val="20"/>
              </w:rPr>
              <w:t>drożono procedury efektywnej publikacji postępowań o udzielenie zamówień publicznych. Przyjęto podejście zakładające podział przedmiotu zamówienia na możliwie wiele homogenicznych części (pakietów) o niższej jednostkowej wartości. Podejście ma na celu zwiększenie konkurencyjności i zwiększenie prawdopodobieństwa szybkiego wyłonienia wykonawców.</w:t>
            </w:r>
          </w:p>
          <w:p w14:paraId="3B0291EB" w14:textId="77777777" w:rsidR="002C4696" w:rsidRPr="00B213D8" w:rsidRDefault="002C4696" w:rsidP="00B47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A94A7" w14:textId="748D60E2" w:rsidR="00B657C8" w:rsidRPr="00B213D8" w:rsidRDefault="00DF59E2" w:rsidP="00DF59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Postępowanie na dostawę sprzętu do digitalizacji zasobów w zakresie pakietu dot. archiwum modułowego zakończyło się </w:t>
            </w:r>
            <w:r w:rsidR="009F7C0B">
              <w:rPr>
                <w:rFonts w:ascii="Arial" w:hAnsi="Arial" w:cs="Arial"/>
                <w:sz w:val="20"/>
                <w:szCs w:val="20"/>
              </w:rPr>
              <w:t>wyborem wykonawcy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(umowa podpisana dnia 28.05.2019)</w:t>
            </w:r>
            <w:r>
              <w:rPr>
                <w:rFonts w:ascii="Arial" w:hAnsi="Arial" w:cs="Arial"/>
                <w:sz w:val="20"/>
                <w:szCs w:val="20"/>
              </w:rPr>
              <w:t xml:space="preserve">. Postępowanie na pozyskanie dostawcy terminali mobilnych oraz drukarek kodów kreskowych wraz z kompletem etykiet i kalek zostało rozstrzygnięte w dniu 25.06.2019 – podpisanie umów nastąpi zgodnie z procedurami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tj. w lipcu. </w:t>
            </w:r>
            <w:r w:rsidRPr="00B213D8">
              <w:rPr>
                <w:rFonts w:ascii="Arial" w:hAnsi="Arial" w:cs="Arial"/>
                <w:sz w:val="20"/>
                <w:szCs w:val="20"/>
              </w:rPr>
              <w:t>Opóźnienia w osiągnięciu kamienia milowego nie spowodują opóźnienia w zakończeniu projektu.</w:t>
            </w:r>
          </w:p>
        </w:tc>
      </w:tr>
      <w:tr w:rsidR="00697D52" w:rsidRPr="00B213D8" w14:paraId="0B5A5F39" w14:textId="77777777" w:rsidTr="00CE6171">
        <w:tc>
          <w:tcPr>
            <w:tcW w:w="1403" w:type="pct"/>
          </w:tcPr>
          <w:p w14:paraId="3F8C8A58" w14:textId="5CC05206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powstałego archiwum modułowego na zasoby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1A47" w14:textId="140EF0DD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B90D422" w14:textId="7C05E246" w:rsidR="00697D52" w:rsidRPr="00B213D8" w:rsidRDefault="00B657C8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2E26FAFD" w14:textId="7C8D0E91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BAD0735" w14:textId="521B92B2" w:rsidR="00697D52" w:rsidRPr="00B213D8" w:rsidRDefault="00323556" w:rsidP="001A51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7FA265E" w14:textId="77777777" w:rsidR="000B35EF" w:rsidRPr="00B213D8" w:rsidRDefault="000B35EF" w:rsidP="001A51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82799A" w14:textId="77777777" w:rsidR="003F55F1" w:rsidRPr="00B213D8" w:rsidRDefault="003F55F1" w:rsidP="003F55F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E989AA3" w14:textId="6F1D6BAE" w:rsidR="000B35EF" w:rsidRPr="00B213D8" w:rsidRDefault="003C422E" w:rsidP="003C422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Postepowani</w:t>
            </w:r>
            <w:r w:rsidR="00BF4B68"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na wybór dostawców archiwum modułowego i wyposażenia zostały rozstrzygnięte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– odbiory nastąpią zgodnie z terminami podpisanych umów, w III kw. 2019.</w:t>
            </w:r>
          </w:p>
          <w:p w14:paraId="7F71262B" w14:textId="77777777" w:rsidR="00BF4B68" w:rsidRPr="00B213D8" w:rsidRDefault="00BF4B68" w:rsidP="003C42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D24059" w14:textId="77777777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ŚRODKI ZARADCZE</w:t>
            </w:r>
          </w:p>
          <w:p w14:paraId="28777F46" w14:textId="46FB726B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Zwiększenie efektywności pozyskania wykonawców zgodnie z podejściem zaproponowanym przy kamieniu milowym „Zakończenie postępowania w celu wyłonienia dostawcy sprzętów i programów”.</w:t>
            </w:r>
          </w:p>
        </w:tc>
      </w:tr>
      <w:tr w:rsidR="00697D52" w:rsidRPr="00B213D8" w14:paraId="408842A9" w14:textId="77777777" w:rsidTr="00CE6171">
        <w:tc>
          <w:tcPr>
            <w:tcW w:w="1403" w:type="pct"/>
          </w:tcPr>
          <w:p w14:paraId="3C97113A" w14:textId="77F40480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Budowa portalu do udostępniania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8B0B" w14:textId="24F5862B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644FA5CF" w14:textId="3236AA72" w:rsidR="00697D52" w:rsidRPr="00B213D8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295C9D41" w14:textId="77777777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00CBCA35" w14:textId="4B4C6F4E" w:rsidR="00697D52" w:rsidRPr="00B213D8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0A7CA6D4" w14:textId="06831B82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</w:tc>
        <w:tc>
          <w:tcPr>
            <w:tcW w:w="689" w:type="pct"/>
          </w:tcPr>
          <w:p w14:paraId="6B18D4CD" w14:textId="08C682A8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32A8A8BF" w14:textId="6E84B735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C15D18F" w14:textId="77777777" w:rsidR="00697D52" w:rsidRPr="00B213D8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3C150429" w14:textId="77777777" w:rsidR="000D41F8" w:rsidRPr="00B213D8" w:rsidRDefault="000D41F8" w:rsidP="006259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908519" w14:textId="77777777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64EE713" w14:textId="58833C36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wybor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ze podmiotu zarządzającego projektem</w:t>
            </w:r>
            <w:r w:rsidRPr="00B213D8">
              <w:rPr>
                <w:rFonts w:ascii="Arial" w:hAnsi="Arial" w:cs="Arial"/>
                <w:sz w:val="20"/>
                <w:szCs w:val="20"/>
              </w:rPr>
              <w:t>.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Opóźnienia w dostawach (wynikające z trudności pozyskania wykonawców) infrastruktury koniecznej do integracji oprogramowania.</w:t>
            </w:r>
          </w:p>
          <w:p w14:paraId="2C039952" w14:textId="77777777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1DBB54" w14:textId="24570E1E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</w:t>
            </w:r>
            <w:r w:rsidR="00CD0BC7" w:rsidRPr="00B213D8">
              <w:rPr>
                <w:rFonts w:ascii="Arial" w:hAnsi="Arial" w:cs="Arial"/>
                <w:sz w:val="20"/>
                <w:szCs w:val="20"/>
                <w:u w:val="single"/>
              </w:rPr>
              <w:t>KI ZARADCZE</w:t>
            </w:r>
          </w:p>
          <w:p w14:paraId="0CA84582" w14:textId="0A637B88" w:rsidR="00BF4B68" w:rsidRPr="00B213D8" w:rsidRDefault="00F96CFA" w:rsidP="00BF4B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Wdrożono procedury efek</w:t>
            </w:r>
            <w:r w:rsidRPr="00F96CFA">
              <w:rPr>
                <w:rFonts w:ascii="Arial" w:hAnsi="Arial" w:cs="Arial"/>
                <w:sz w:val="20"/>
                <w:szCs w:val="20"/>
              </w:rPr>
              <w:t>tywnej publikacji post</w:t>
            </w:r>
            <w:r>
              <w:rPr>
                <w:rFonts w:ascii="Arial" w:hAnsi="Arial" w:cs="Arial"/>
                <w:sz w:val="20"/>
                <w:szCs w:val="20"/>
              </w:rPr>
              <w:t>ępowań o udzielenie zamówień pu</w:t>
            </w:r>
            <w:r w:rsidRPr="00F96CFA">
              <w:rPr>
                <w:rFonts w:ascii="Arial" w:hAnsi="Arial" w:cs="Arial"/>
                <w:sz w:val="20"/>
                <w:szCs w:val="20"/>
              </w:rPr>
              <w:t xml:space="preserve">blicznych. Przyjęto podejście zakładające podział </w:t>
            </w:r>
            <w:r>
              <w:rPr>
                <w:rFonts w:ascii="Arial" w:hAnsi="Arial" w:cs="Arial"/>
                <w:sz w:val="20"/>
                <w:szCs w:val="20"/>
              </w:rPr>
              <w:t>przed-miotu zamówienia na możli</w:t>
            </w:r>
            <w:r w:rsidRPr="00F96CFA">
              <w:rPr>
                <w:rFonts w:ascii="Arial" w:hAnsi="Arial" w:cs="Arial"/>
                <w:sz w:val="20"/>
                <w:szCs w:val="20"/>
              </w:rPr>
              <w:t>wie wiele homogenicznych części (pakietów) o ni</w:t>
            </w:r>
            <w:r>
              <w:rPr>
                <w:rFonts w:ascii="Arial" w:hAnsi="Arial" w:cs="Arial"/>
                <w:sz w:val="20"/>
                <w:szCs w:val="20"/>
              </w:rPr>
              <w:t>ższej jednostkowej wartości. Po</w:t>
            </w:r>
            <w:r w:rsidRPr="00F96CFA">
              <w:rPr>
                <w:rFonts w:ascii="Arial" w:hAnsi="Arial" w:cs="Arial"/>
                <w:sz w:val="20"/>
                <w:szCs w:val="20"/>
              </w:rPr>
              <w:t>dejście ma na cel</w:t>
            </w:r>
            <w:r>
              <w:rPr>
                <w:rFonts w:ascii="Arial" w:hAnsi="Arial" w:cs="Arial"/>
                <w:sz w:val="20"/>
                <w:szCs w:val="20"/>
              </w:rPr>
              <w:t>u zwięk</w:t>
            </w:r>
            <w:r w:rsidRPr="00F96CFA">
              <w:rPr>
                <w:rFonts w:ascii="Arial" w:hAnsi="Arial" w:cs="Arial"/>
                <w:sz w:val="20"/>
                <w:szCs w:val="20"/>
              </w:rPr>
              <w:t>szenie konkurency</w:t>
            </w:r>
            <w:r>
              <w:rPr>
                <w:rFonts w:ascii="Arial" w:hAnsi="Arial" w:cs="Arial"/>
                <w:sz w:val="20"/>
                <w:szCs w:val="20"/>
              </w:rPr>
              <w:t>jności i zwiększenie prawdopodobieństwa szybkiego wyłonie</w:t>
            </w:r>
            <w:r w:rsidRPr="00F96CFA">
              <w:rPr>
                <w:rFonts w:ascii="Arial" w:hAnsi="Arial" w:cs="Arial"/>
                <w:sz w:val="20"/>
                <w:szCs w:val="20"/>
              </w:rPr>
              <w:t>nia wykonawców.</w:t>
            </w:r>
          </w:p>
          <w:p w14:paraId="787EB271" w14:textId="77777777" w:rsidR="00BF4B68" w:rsidRPr="00B213D8" w:rsidRDefault="00BF4B68" w:rsidP="006259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5E6D00" w14:textId="1E39842D" w:rsidR="000D41F8" w:rsidRPr="00B213D8" w:rsidRDefault="00C75150" w:rsidP="00C37B1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dniu 31.01.2019 r. podpisano umowę </w:t>
            </w:r>
            <w:r w:rsidR="000D41F8" w:rsidRPr="00B213D8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B213D8">
              <w:rPr>
                <w:rFonts w:ascii="Arial" w:hAnsi="Arial" w:cs="Arial"/>
                <w:sz w:val="20"/>
                <w:szCs w:val="20"/>
              </w:rPr>
              <w:t>w</w:t>
            </w:r>
            <w:r w:rsidR="000D41F8" w:rsidRPr="00B213D8">
              <w:rPr>
                <w:rFonts w:ascii="Arial" w:hAnsi="Arial" w:cs="Arial"/>
                <w:sz w:val="20"/>
                <w:szCs w:val="20"/>
              </w:rPr>
              <w:t>ykonawcą</w:t>
            </w:r>
            <w:r w:rsidR="003C422E" w:rsidRPr="00B213D8">
              <w:rPr>
                <w:rFonts w:ascii="Arial" w:hAnsi="Arial" w:cs="Arial"/>
                <w:sz w:val="20"/>
                <w:szCs w:val="20"/>
              </w:rPr>
              <w:t xml:space="preserve"> portalu do udostępniania zasobów</w:t>
            </w:r>
            <w:r w:rsidR="000D41F8" w:rsidRPr="00B213D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C422E" w:rsidRPr="00B213D8">
              <w:rPr>
                <w:rFonts w:ascii="Arial" w:hAnsi="Arial" w:cs="Arial"/>
                <w:sz w:val="20"/>
                <w:szCs w:val="20"/>
              </w:rPr>
              <w:t>Zgodnie z zapisami umowy u</w:t>
            </w:r>
            <w:r w:rsidR="000D41F8" w:rsidRPr="00B213D8">
              <w:rPr>
                <w:rFonts w:ascii="Arial" w:hAnsi="Arial" w:cs="Arial"/>
                <w:sz w:val="20"/>
                <w:szCs w:val="20"/>
              </w:rPr>
              <w:t>ruchomienie wersji produkcyjnej portalu nastąpi w czerwcu 2019 roku.</w:t>
            </w:r>
            <w:r w:rsidR="00BF4B68"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7B18">
              <w:rPr>
                <w:rFonts w:ascii="Arial" w:hAnsi="Arial" w:cs="Arial"/>
                <w:sz w:val="20"/>
                <w:szCs w:val="20"/>
              </w:rPr>
              <w:t>Z uwagi na niedostarczenie urządzeń niezbędnego do przygotowania integracji (aparatów, drukarek kodów QR, terminali) z przyczyn niezależnych od Beneficjenta, podpisano aneks - zakładający</w:t>
            </w:r>
            <w:r w:rsidR="00C37B18" w:rsidRPr="00C37B18">
              <w:rPr>
                <w:rFonts w:ascii="Arial" w:hAnsi="Arial" w:cs="Arial"/>
                <w:sz w:val="20"/>
                <w:szCs w:val="20"/>
              </w:rPr>
              <w:t>, iż integracja z urządzeniami zostanie wykonania w kolejnych etapach projektu, a bieżący etap Implementacji można uznać za zrealizowany</w:t>
            </w:r>
            <w:r w:rsidR="00C37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F4B68" w:rsidRPr="00B213D8">
              <w:rPr>
                <w:rFonts w:ascii="Arial" w:hAnsi="Arial" w:cs="Arial"/>
                <w:sz w:val="20"/>
                <w:szCs w:val="20"/>
              </w:rPr>
              <w:lastRenderedPageBreak/>
              <w:t>Opóźnienia w osiągnięciu kamienia milowego nie spowoduj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ą</w:t>
            </w:r>
            <w:r w:rsidR="00BF4B68" w:rsidRPr="00B213D8">
              <w:rPr>
                <w:rFonts w:ascii="Arial" w:hAnsi="Arial" w:cs="Arial"/>
                <w:sz w:val="20"/>
                <w:szCs w:val="20"/>
              </w:rPr>
              <w:t xml:space="preserve"> opóźnienia w zakończeniu projektu.</w:t>
            </w:r>
          </w:p>
        </w:tc>
      </w:tr>
      <w:tr w:rsidR="00697D52" w:rsidRPr="00B213D8" w14:paraId="77EC3553" w14:textId="77777777" w:rsidTr="00CE6171">
        <w:tc>
          <w:tcPr>
            <w:tcW w:w="1403" w:type="pct"/>
          </w:tcPr>
          <w:p w14:paraId="2F094C01" w14:textId="6F564ADE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Digitalizacja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A7E3" w14:textId="567CCC35" w:rsidR="00697D52" w:rsidRPr="00B213D8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12B57C5C" w14:textId="1EAA4E1B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89" w:type="pct"/>
          </w:tcPr>
          <w:p w14:paraId="57709F86" w14:textId="11620F42" w:rsidR="00697D52" w:rsidRPr="00B213D8" w:rsidRDefault="00697D52" w:rsidP="00625994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16A4CA2C" w14:textId="747570F3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4AECC271" w14:textId="3E9BCE59" w:rsidR="00697D52" w:rsidRPr="00B213D8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97D52" w:rsidRPr="00B213D8" w14:paraId="22497579" w14:textId="77777777" w:rsidTr="00CE6171">
        <w:tc>
          <w:tcPr>
            <w:tcW w:w="1403" w:type="pct"/>
          </w:tcPr>
          <w:p w14:paraId="5D1CCCC3" w14:textId="16636472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promocyjne w trakcie realizacji projektu, zgodnie z planem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39FE" w14:textId="4E542C3C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4C05A75B" w14:textId="4DE2D242" w:rsidR="00697D52" w:rsidRPr="00B213D8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0FF21EFC" w14:textId="587B0E7D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1508D289" w14:textId="77777777" w:rsidR="00697D52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E818A0B" w14:textId="77777777" w:rsidR="00916045" w:rsidRDefault="00916045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9B639E" w14:textId="6D125D2C" w:rsidR="00916045" w:rsidRPr="003D75DB" w:rsidRDefault="00C37B18" w:rsidP="00C37B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promocji przedstawiciele Beneficjenta udzielili wywiadu nt. Projektu </w:t>
            </w:r>
            <w:r w:rsidRPr="003D75DB">
              <w:rPr>
                <w:rFonts w:ascii="Arial" w:hAnsi="Arial" w:cs="Arial"/>
                <w:i/>
                <w:sz w:val="20"/>
                <w:szCs w:val="20"/>
              </w:rPr>
              <w:t>Digital Brain</w:t>
            </w:r>
            <w:r>
              <w:rPr>
                <w:rFonts w:ascii="Arial" w:hAnsi="Arial" w:cs="Arial"/>
                <w:sz w:val="20"/>
                <w:szCs w:val="20"/>
              </w:rPr>
              <w:t xml:space="preserve"> dla magazynu popularnonaukowego „Focus”, który ukazał się w lipcowym nakładzie</w:t>
            </w:r>
            <w:r w:rsidR="003D75D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20FD029" w14:textId="77777777" w:rsidR="004D6970" w:rsidRPr="00B213D8" w:rsidRDefault="004D6970" w:rsidP="004D6970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B213D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213D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B213D8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213D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213D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213D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213D8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213D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213D8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B213D8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213D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213D8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213D8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213D8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406B0" w:rsidRPr="00B213D8" w14:paraId="6D45D06F" w14:textId="77777777" w:rsidTr="00047D9D">
        <w:tc>
          <w:tcPr>
            <w:tcW w:w="2545" w:type="dxa"/>
          </w:tcPr>
          <w:p w14:paraId="605BC7DD" w14:textId="66A1F86E" w:rsidR="00B406B0" w:rsidRPr="00B213D8" w:rsidRDefault="00B406B0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213D8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3C0F5C3A" w14:textId="65D60A13" w:rsidR="00B406B0" w:rsidRPr="00B213D8" w:rsidRDefault="00B406B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51E8F9" w14:textId="686E9F87" w:rsidR="00B406B0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563725F" w14:textId="2AB7CC6F" w:rsidR="00B406B0" w:rsidRPr="00B213D8" w:rsidRDefault="00F8243E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13277F28" w14:textId="7F9FFDDD" w:rsidR="00B406B0" w:rsidRPr="00B213D8" w:rsidRDefault="006060B2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213D8" w14:paraId="6C167390" w14:textId="77777777" w:rsidTr="00047D9D">
        <w:tc>
          <w:tcPr>
            <w:tcW w:w="2545" w:type="dxa"/>
          </w:tcPr>
          <w:p w14:paraId="4CB183D2" w14:textId="6410FB02" w:rsidR="006F342B" w:rsidRPr="00B213D8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213D8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B213D8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B213D8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511AE335" w14:textId="7A7A5B08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0F8B52E1" w14:textId="430343E8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6EF7476B" w14:textId="5C64389D" w:rsidR="006F342B" w:rsidRPr="00B213D8" w:rsidRDefault="006F342B" w:rsidP="00F7673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</w:t>
            </w:r>
            <w:r w:rsidR="00F76735" w:rsidRPr="00B213D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1F7BD13A" w14:textId="6F50FAD0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213D8" w14:paraId="10CB9C0C" w14:textId="77777777" w:rsidTr="00047D9D">
        <w:tc>
          <w:tcPr>
            <w:tcW w:w="2545" w:type="dxa"/>
          </w:tcPr>
          <w:p w14:paraId="345C3ED1" w14:textId="262CDF41" w:rsidR="006F342B" w:rsidRPr="00B213D8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213D8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B213D8">
              <w:rPr>
                <w:rFonts w:cs="Arial"/>
                <w:sz w:val="20"/>
                <w:szCs w:val="20"/>
                <w:lang w:val="pl-PL" w:eastAsia="pl-PL"/>
              </w:rPr>
              <w:t>zdigit</w:t>
            </w:r>
            <w:bookmarkStart w:id="0" w:name="_GoBack"/>
            <w:bookmarkEnd w:id="0"/>
            <w:r w:rsidRPr="00B213D8">
              <w:rPr>
                <w:rFonts w:cs="Arial"/>
                <w:sz w:val="20"/>
                <w:szCs w:val="20"/>
                <w:lang w:val="pl-PL" w:eastAsia="pl-PL"/>
              </w:rPr>
              <w:t>alizowanej</w:t>
            </w:r>
            <w:proofErr w:type="spellEnd"/>
            <w:r w:rsidRPr="00B213D8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1E2BA28" w14:textId="227D90CA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0C6F65" w14:textId="4628567F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321A2785" w14:textId="148B1A0F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06AEB24" w14:textId="6F5AE7F3" w:rsidR="006F342B" w:rsidRPr="00B213D8" w:rsidRDefault="003400F8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 TB</w:t>
            </w:r>
          </w:p>
        </w:tc>
      </w:tr>
      <w:tr w:rsidR="006F342B" w:rsidRPr="00B213D8" w14:paraId="785B0A39" w14:textId="77777777" w:rsidTr="00047D9D">
        <w:tc>
          <w:tcPr>
            <w:tcW w:w="2545" w:type="dxa"/>
          </w:tcPr>
          <w:p w14:paraId="6E2E3546" w14:textId="5BB2E97D" w:rsidR="006F342B" w:rsidRPr="00B213D8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213D8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B213D8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B213D8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7DBEB21E" w14:textId="1336CEE6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7C41420" w14:textId="38AC0108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5844C067" w14:textId="39B06194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09612C5" w14:textId="751EA06F" w:rsidR="006F342B" w:rsidRPr="00B213D8" w:rsidRDefault="00A05E6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</w:t>
            </w:r>
          </w:p>
        </w:tc>
      </w:tr>
      <w:tr w:rsidR="006F342B" w:rsidRPr="00B213D8" w14:paraId="4D83389F" w14:textId="77777777" w:rsidTr="00047D9D">
        <w:tc>
          <w:tcPr>
            <w:tcW w:w="2545" w:type="dxa"/>
          </w:tcPr>
          <w:p w14:paraId="1FC93F15" w14:textId="7359C891" w:rsidR="006F342B" w:rsidRPr="00B213D8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213D8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0685CEC4" w14:textId="567047D4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59E947" w14:textId="2C807219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52572BD9" w14:textId="3DD68C87" w:rsidR="006F342B" w:rsidRPr="00B213D8" w:rsidRDefault="00F76735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3A029D" w14:textId="3874D8CC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213D8" w14:paraId="7B285DAD" w14:textId="77777777" w:rsidTr="00047D9D">
        <w:tc>
          <w:tcPr>
            <w:tcW w:w="2545" w:type="dxa"/>
          </w:tcPr>
          <w:p w14:paraId="074B0F56" w14:textId="1BD1F6D2" w:rsidR="006F342B" w:rsidRPr="00B213D8" w:rsidRDefault="006F342B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B213D8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597FC74" w14:textId="48891785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2BCE069" w14:textId="4349D32F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2F9CFB1" w14:textId="01CC4493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4A1B84D" w14:textId="67B583D9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F59C9" w:rsidRPr="00B213D8" w14:paraId="78F76174" w14:textId="77777777" w:rsidTr="00047D9D">
        <w:tc>
          <w:tcPr>
            <w:tcW w:w="2545" w:type="dxa"/>
          </w:tcPr>
          <w:p w14:paraId="56171F85" w14:textId="214A3E3D" w:rsidR="002F59C9" w:rsidRPr="00B213D8" w:rsidRDefault="002F59C9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B213D8"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502103A9" w14:textId="69CEF12E" w:rsidR="002F59C9" w:rsidRPr="00B213D8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D965C23" w14:textId="4307609B" w:rsidR="002F59C9" w:rsidRPr="00B213D8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2C597A37" w14:textId="2A6A2DBF" w:rsidR="002F59C9" w:rsidRPr="00B213D8" w:rsidRDefault="002F59C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FB25F1A" w14:textId="4F484161" w:rsidR="002F59C9" w:rsidRPr="00B213D8" w:rsidRDefault="009B44C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F59C9" w:rsidRPr="00B213D8" w14:paraId="642407AE" w14:textId="77777777" w:rsidTr="00047D9D">
        <w:tc>
          <w:tcPr>
            <w:tcW w:w="2545" w:type="dxa"/>
          </w:tcPr>
          <w:p w14:paraId="539DED1B" w14:textId="2AA4240A" w:rsidR="002F59C9" w:rsidRPr="00B213D8" w:rsidRDefault="002F59C9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B213D8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6C9E181F" w14:textId="7607574A" w:rsidR="002F59C9" w:rsidRPr="00B213D8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104C02" w14:textId="12ACB2EA" w:rsidR="002F59C9" w:rsidRPr="00B213D8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7440AE08" w14:textId="7726D8D8" w:rsidR="002F59C9" w:rsidRPr="00B213D8" w:rsidRDefault="00F76735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06169C8" w14:textId="08572AF3" w:rsidR="002F59C9" w:rsidRPr="00B213D8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B213D8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213D8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213D8">
        <w:rPr>
          <w:rFonts w:ascii="Arial" w:hAnsi="Arial" w:cs="Arial"/>
          <w:sz w:val="20"/>
          <w:szCs w:val="20"/>
        </w:rPr>
        <w:t>&lt;</w:t>
      </w:r>
      <w:r w:rsidR="00B41415" w:rsidRPr="00B213D8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B213D8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B213D8" w14:paraId="1F33CC02" w14:textId="77777777" w:rsidTr="006060B2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213D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213D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213D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213D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B213D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213D8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060B2" w:rsidRPr="00B213D8" w14:paraId="21836152" w14:textId="77777777" w:rsidTr="006060B2">
        <w:tc>
          <w:tcPr>
            <w:tcW w:w="2797" w:type="dxa"/>
          </w:tcPr>
          <w:p w14:paraId="3EB4ADAD" w14:textId="189818CF" w:rsidR="006060B2" w:rsidRPr="00B213D8" w:rsidRDefault="006060B2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34779C77" w14:textId="77777777" w:rsidR="006060B2" w:rsidRPr="00B213D8" w:rsidRDefault="006060B2" w:rsidP="00310D8E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BA5A2B" w14:textId="77777777" w:rsidR="006060B2" w:rsidRPr="00B213D8" w:rsidRDefault="006060B2" w:rsidP="00C1106C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672214C3" w14:textId="77777777" w:rsidR="006060B2" w:rsidRPr="00B213D8" w:rsidRDefault="006060B2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77777777" w:rsidR="00933BEC" w:rsidRPr="00B213D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213D8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B213D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213D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B213D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B213D8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B213D8" w14:paraId="7ED4D618" w14:textId="77777777" w:rsidTr="004C46AA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213D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213D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213D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B213D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213D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D60A2" w:rsidRPr="00B213D8" w14:paraId="264B5C23" w14:textId="77777777" w:rsidTr="004C46AA">
        <w:tc>
          <w:tcPr>
            <w:tcW w:w="2969" w:type="dxa"/>
          </w:tcPr>
          <w:p w14:paraId="30D5DBC0" w14:textId="35D6BA56" w:rsidR="00F27422" w:rsidRPr="00B213D8" w:rsidRDefault="00CD60A2" w:rsidP="00697D5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</w:t>
            </w:r>
            <w:r w:rsidR="00F27422" w:rsidRPr="00B213D8">
              <w:rPr>
                <w:rFonts w:ascii="Arial" w:hAnsi="Arial" w:cs="Arial"/>
                <w:sz w:val="20"/>
                <w:szCs w:val="20"/>
              </w:rPr>
              <w:t>zw. „kolekcj</w:t>
            </w:r>
            <w:r w:rsidR="00697D52"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="00F27422" w:rsidRPr="00B213D8">
              <w:rPr>
                <w:rFonts w:ascii="Arial" w:hAnsi="Arial" w:cs="Arial"/>
                <w:sz w:val="20"/>
                <w:szCs w:val="20"/>
              </w:rPr>
              <w:t xml:space="preserve"> mózgów IPiN”</w:t>
            </w:r>
          </w:p>
        </w:tc>
        <w:tc>
          <w:tcPr>
            <w:tcW w:w="1261" w:type="dxa"/>
          </w:tcPr>
          <w:p w14:paraId="175C1232" w14:textId="7030C4CA" w:rsidR="00F27422" w:rsidRPr="00B213D8" w:rsidRDefault="00CD60A2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4232D08C" w14:textId="25777757" w:rsidR="00F27422" w:rsidRPr="00B213D8" w:rsidRDefault="00CD60A2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3277502B" w14:textId="3B172FFE" w:rsidR="00F27422" w:rsidRPr="00B213D8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B213D8" w14:paraId="7D8E37CA" w14:textId="77777777" w:rsidTr="004C46AA">
        <w:tc>
          <w:tcPr>
            <w:tcW w:w="2969" w:type="dxa"/>
          </w:tcPr>
          <w:p w14:paraId="54198359" w14:textId="1F8E8749" w:rsidR="004C46AA" w:rsidRPr="00B213D8" w:rsidRDefault="004C46AA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71D0E1EB" w14:textId="6A2B5BC2" w:rsidR="004C46AA" w:rsidRPr="00B213D8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7577E67C" w14:textId="732A0544" w:rsidR="004C46AA" w:rsidRPr="00B213D8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13D21577" w14:textId="146B314C" w:rsidR="004C46AA" w:rsidRPr="00B213D8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B213D8" w14:paraId="53DC54F4" w14:textId="77777777" w:rsidTr="004C46AA">
        <w:tc>
          <w:tcPr>
            <w:tcW w:w="2969" w:type="dxa"/>
          </w:tcPr>
          <w:p w14:paraId="7A1EE408" w14:textId="30C484D5" w:rsidR="004C46AA" w:rsidRPr="00B213D8" w:rsidRDefault="004C46AA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0E1EF19C" w14:textId="3C3ECAB2" w:rsidR="004C46AA" w:rsidRPr="00B213D8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42793F6" w14:textId="2E18F88A" w:rsidR="004C46AA" w:rsidRPr="00B213D8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0D64173E" w14:textId="6F4EE163" w:rsidR="004C46AA" w:rsidRPr="00B213D8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B213D8" w14:paraId="7830A800" w14:textId="77777777" w:rsidTr="004C46AA">
        <w:tc>
          <w:tcPr>
            <w:tcW w:w="2969" w:type="dxa"/>
          </w:tcPr>
          <w:p w14:paraId="0A243D0F" w14:textId="7A569686" w:rsidR="004C46AA" w:rsidRPr="00B213D8" w:rsidRDefault="004C46AA" w:rsidP="00CD60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B4730E8" w14:textId="4FF2E5CE" w:rsidR="004C46AA" w:rsidRPr="00B213D8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52C008E" w14:textId="0F03A31F" w:rsidR="004C46AA" w:rsidRPr="00B213D8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641E4457" w14:textId="40297652" w:rsidR="004C46AA" w:rsidRPr="00B213D8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2598878D" w14:textId="77777777" w:rsidR="004C1D48" w:rsidRPr="00B213D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213D8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213D8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213D8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213D8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213D8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213D8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213D8">
        <w:rPr>
          <w:rFonts w:ascii="Arial" w:hAnsi="Arial" w:cs="Arial"/>
          <w:color w:val="auto"/>
        </w:rPr>
        <w:t xml:space="preserve"> </w:t>
      </w:r>
      <w:r w:rsidR="00B41415" w:rsidRPr="00B213D8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B213D8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B213D8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B213D8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213D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132D" w:rsidRPr="00B213D8" w14:paraId="19D5D1C2" w14:textId="77777777" w:rsidTr="008B486B">
        <w:tc>
          <w:tcPr>
            <w:tcW w:w="2547" w:type="dxa"/>
          </w:tcPr>
          <w:p w14:paraId="2A34147A" w14:textId="4777DCBD" w:rsidR="0061132D" w:rsidRPr="00B213D8" w:rsidRDefault="0061132D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</w:t>
            </w:r>
            <w:r w:rsidR="004C46AA" w:rsidRPr="00B213D8">
              <w:rPr>
                <w:rFonts w:ascii="Arial" w:hAnsi="Arial" w:cs="Arial"/>
                <w:sz w:val="20"/>
                <w:szCs w:val="20"/>
              </w:rPr>
              <w:t xml:space="preserve"> wraz z API (</w:t>
            </w:r>
            <w:proofErr w:type="spellStart"/>
            <w:r w:rsidR="004C46AA"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="004C46AA"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2B025A19" w14:textId="39E3EB1D" w:rsidR="0061132D" w:rsidRPr="00B213D8" w:rsidRDefault="0061132D" w:rsidP="00A44EA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14473964" w14:textId="2543AD83" w:rsidR="0061132D" w:rsidRPr="00B213D8" w:rsidRDefault="0080626C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0B716FAC" w14:textId="6CA3155F" w:rsidR="0061132D" w:rsidRPr="00B213D8" w:rsidRDefault="004C46AA" w:rsidP="008B486B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komplementarny między innymi z systemem KRONIK@</w:t>
            </w:r>
          </w:p>
        </w:tc>
      </w:tr>
    </w:tbl>
    <w:p w14:paraId="2AC8CEEF" w14:textId="73D2E2F8" w:rsidR="00BB059E" w:rsidRPr="00B213D8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213D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B213D8">
        <w:rPr>
          <w:rFonts w:ascii="Arial" w:hAnsi="Arial" w:cs="Arial"/>
          <w:color w:val="0070C0"/>
        </w:rPr>
        <w:t xml:space="preserve"> </w:t>
      </w:r>
      <w:r w:rsidR="00B41415" w:rsidRPr="00B213D8">
        <w:rPr>
          <w:rFonts w:ascii="Arial" w:hAnsi="Arial" w:cs="Arial"/>
          <w:color w:val="0070C0"/>
        </w:rPr>
        <w:t xml:space="preserve"> </w:t>
      </w:r>
      <w:r w:rsidR="00DA34DF" w:rsidRPr="00B213D8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B213D8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B213D8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02B0C9F" w14:textId="5A754445" w:rsidR="00141A92" w:rsidRPr="00B213D8" w:rsidRDefault="00CF2E64" w:rsidP="004D6970">
      <w:pPr>
        <w:spacing w:after="120"/>
        <w:rPr>
          <w:rFonts w:ascii="Arial" w:hAnsi="Arial" w:cs="Arial"/>
          <w:sz w:val="20"/>
          <w:szCs w:val="20"/>
        </w:rPr>
      </w:pPr>
      <w:r w:rsidRPr="00B213D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983"/>
        <w:gridCol w:w="1416"/>
        <w:gridCol w:w="1843"/>
        <w:gridCol w:w="4403"/>
        <w:gridCol w:w="15"/>
      </w:tblGrid>
      <w:tr w:rsidR="004C46AA" w:rsidRPr="00B213D8" w14:paraId="197AA1A0" w14:textId="77777777" w:rsidTr="00E20F09">
        <w:trPr>
          <w:cantSplit/>
          <w:tblHeader/>
        </w:trPr>
        <w:tc>
          <w:tcPr>
            <w:tcW w:w="1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60A31B46" w14:textId="77777777" w:rsidR="004C46AA" w:rsidRPr="00B213D8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7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6C5A2BBC" w14:textId="77777777" w:rsidR="004C46AA" w:rsidRPr="00B213D8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5A4CCD4C" w14:textId="77777777" w:rsidR="004C46AA" w:rsidRPr="00B213D8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8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4F6CBC24" w14:textId="77777777" w:rsidR="004C46AA" w:rsidRPr="00B213D8" w:rsidRDefault="004C46AA" w:rsidP="00E20F09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C46AA" w:rsidRPr="00B213D8" w14:paraId="06C8405E" w14:textId="77777777" w:rsidTr="00E20F09">
        <w:trPr>
          <w:cantSplit/>
        </w:trPr>
        <w:tc>
          <w:tcPr>
            <w:tcW w:w="1026" w:type="pct"/>
          </w:tcPr>
          <w:p w14:paraId="1C134E2C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</w:tc>
        <w:tc>
          <w:tcPr>
            <w:tcW w:w="733" w:type="pct"/>
          </w:tcPr>
          <w:p w14:paraId="2BAABE16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504B0C23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6A1D72C1" w14:textId="77777777" w:rsidR="004C46AA" w:rsidRPr="00B213D8" w:rsidRDefault="004C46AA" w:rsidP="00E20F09">
            <w:pPr>
              <w:pStyle w:val="Akapitzlist"/>
              <w:numPr>
                <w:ilvl w:val="0"/>
                <w:numId w:val="25"/>
              </w:numPr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IPiN i jego dział zamówień publicznych, który posiada duże doświadczenie w prowadzeniu procedur w trybie ww. ustawy. W umowie przewidziane zostaną odpowiednie zabezpieczenia mające na celu ochronę IPiN przed niekorzystnym działaniem wybranego Wykonawcy. </w:t>
            </w:r>
          </w:p>
        </w:tc>
      </w:tr>
      <w:tr w:rsidR="004C46AA" w:rsidRPr="00B213D8" w14:paraId="20DA58E7" w14:textId="77777777" w:rsidTr="00E20F09">
        <w:trPr>
          <w:cantSplit/>
        </w:trPr>
        <w:tc>
          <w:tcPr>
            <w:tcW w:w="1026" w:type="pct"/>
          </w:tcPr>
          <w:p w14:paraId="4B59F8FD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33" w:type="pct"/>
          </w:tcPr>
          <w:p w14:paraId="55B1ED82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25F167C6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3926DEB6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233AC668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</w:tc>
      </w:tr>
      <w:tr w:rsidR="004C46AA" w:rsidRPr="00B213D8" w14:paraId="5AB7130A" w14:textId="77777777" w:rsidTr="00E20F09">
        <w:trPr>
          <w:cantSplit/>
        </w:trPr>
        <w:tc>
          <w:tcPr>
            <w:tcW w:w="1026" w:type="pct"/>
          </w:tcPr>
          <w:p w14:paraId="73915694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zakładanego zaangażowania pracowników w uczestnictwo</w:t>
            </w:r>
          </w:p>
        </w:tc>
        <w:tc>
          <w:tcPr>
            <w:tcW w:w="733" w:type="pct"/>
          </w:tcPr>
          <w:p w14:paraId="29B3629B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61DA8AE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810B643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</w:p>
          <w:p w14:paraId="542CEE19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 oraz zakresu projektu w organizacji (np. poprzez spotkania z kluczowymi przedstawicielami IPiN oraz pracownikami)</w:t>
            </w:r>
          </w:p>
        </w:tc>
      </w:tr>
      <w:tr w:rsidR="004C46AA" w:rsidRPr="00B213D8" w14:paraId="05E485CB" w14:textId="77777777" w:rsidTr="00E20F09">
        <w:trPr>
          <w:cantSplit/>
        </w:trPr>
        <w:tc>
          <w:tcPr>
            <w:tcW w:w="1026" w:type="pct"/>
          </w:tcPr>
          <w:p w14:paraId="3C625E4B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dostępności lub niska jakość danych źródłowych koniecznych do opracowania produktów przez Jednostki Zadaniowe.</w:t>
            </w:r>
          </w:p>
        </w:tc>
        <w:tc>
          <w:tcPr>
            <w:tcW w:w="733" w:type="pct"/>
          </w:tcPr>
          <w:p w14:paraId="24C84029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3152215D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36D6B6AA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662A7557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</w:tc>
      </w:tr>
      <w:tr w:rsidR="004C46AA" w:rsidRPr="00B213D8" w14:paraId="49377FBE" w14:textId="77777777" w:rsidTr="00E20F09">
        <w:trPr>
          <w:cantSplit/>
        </w:trPr>
        <w:tc>
          <w:tcPr>
            <w:tcW w:w="1026" w:type="pct"/>
          </w:tcPr>
          <w:p w14:paraId="2AED618A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</w:tc>
        <w:tc>
          <w:tcPr>
            <w:tcW w:w="733" w:type="pct"/>
          </w:tcPr>
          <w:p w14:paraId="6FC3A5B9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3FB9AC0F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510A8D0C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</w:p>
          <w:p w14:paraId="1CD1D7C8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394FE601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</w:p>
        </w:tc>
      </w:tr>
      <w:tr w:rsidR="004C46AA" w:rsidRPr="00B213D8" w14:paraId="38785A34" w14:textId="77777777" w:rsidTr="00E20F09">
        <w:trPr>
          <w:cantSplit/>
        </w:trPr>
        <w:tc>
          <w:tcPr>
            <w:tcW w:w="1026" w:type="pct"/>
          </w:tcPr>
          <w:p w14:paraId="712C6B85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33" w:type="pct"/>
          </w:tcPr>
          <w:p w14:paraId="5025C2C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53AF2B7B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0223F4F0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</w:tc>
      </w:tr>
      <w:tr w:rsidR="004C46AA" w:rsidRPr="00B213D8" w14:paraId="1338C384" w14:textId="77777777" w:rsidTr="00E20F09">
        <w:trPr>
          <w:cantSplit/>
          <w:trHeight w:val="2542"/>
        </w:trPr>
        <w:tc>
          <w:tcPr>
            <w:tcW w:w="1026" w:type="pct"/>
          </w:tcPr>
          <w:p w14:paraId="7C294D83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Nieuprawniony dostęp stron trzecich do dokumentacji projektowej</w:t>
            </w:r>
          </w:p>
          <w:p w14:paraId="578F9C84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44C72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pct"/>
          </w:tcPr>
          <w:p w14:paraId="77A578B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2160E3B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432CB4FE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Ustanowienie mechanizmów kontroli dostępu do dokumentacji oraz jej nośników zarówno po stronie IPiN jak i wybranych Wykonawców Zadań (np. przechowywanie elektronicznych wersji w wydzielonych miejsca na dyskach sieciowych z ograniczonymi prawami dostępu).</w:t>
            </w:r>
          </w:p>
          <w:p w14:paraId="252839A9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Ograniczenie dostępu do dokumentacji stanowiące tajemnicę IPiN do określonego kręgu osób.</w:t>
            </w:r>
          </w:p>
        </w:tc>
      </w:tr>
      <w:tr w:rsidR="004C46AA" w:rsidRPr="00B213D8" w14:paraId="7C2A4EE8" w14:textId="77777777" w:rsidTr="00E20F09">
        <w:trPr>
          <w:cantSplit/>
        </w:trPr>
        <w:tc>
          <w:tcPr>
            <w:tcW w:w="1026" w:type="pct"/>
          </w:tcPr>
          <w:p w14:paraId="03B15E7F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Zapewnienie finansowania projektu</w:t>
            </w:r>
          </w:p>
        </w:tc>
        <w:tc>
          <w:tcPr>
            <w:tcW w:w="733" w:type="pct"/>
          </w:tcPr>
          <w:p w14:paraId="4682E2D0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64413A4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CB23865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Na etapie przygotowywania projektu oszacowano również koszty jego utrzymania. Po tych pracach podjęto decyzję o realizacji projektu, ponieważ oszacowane koszty są możliwe od ponoszenia przez Instytut. Instytut gwarantuje więc środki na utrzymanie powstał infrastruktury.</w:t>
            </w:r>
          </w:p>
        </w:tc>
      </w:tr>
      <w:tr w:rsidR="004C46AA" w:rsidRPr="00B213D8" w14:paraId="646B0F67" w14:textId="77777777" w:rsidTr="00E20F09">
        <w:trPr>
          <w:cantSplit/>
        </w:trPr>
        <w:tc>
          <w:tcPr>
            <w:tcW w:w="1026" w:type="pct"/>
          </w:tcPr>
          <w:p w14:paraId="7E2220C6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</w:tc>
        <w:tc>
          <w:tcPr>
            <w:tcW w:w="733" w:type="pct"/>
          </w:tcPr>
          <w:p w14:paraId="7E504DED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69CA82F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9103AE5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1EB016E5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</w:tc>
      </w:tr>
      <w:tr w:rsidR="004C46AA" w:rsidRPr="00B213D8" w14:paraId="3413D6BB" w14:textId="77777777" w:rsidTr="00E20F09">
        <w:trPr>
          <w:cantSplit/>
        </w:trPr>
        <w:tc>
          <w:tcPr>
            <w:tcW w:w="1026" w:type="pct"/>
          </w:tcPr>
          <w:p w14:paraId="7A3AD5C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kluczowych osób zaangażowanych w projekt po stronie IPiN</w:t>
            </w:r>
          </w:p>
        </w:tc>
        <w:tc>
          <w:tcPr>
            <w:tcW w:w="733" w:type="pct"/>
          </w:tcPr>
          <w:p w14:paraId="3E29358C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4DF8237C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43762DE7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nowych osób ze strony IPiN do uczestnictwa w projekcie</w:t>
            </w:r>
          </w:p>
          <w:p w14:paraId="27CBD94D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</w:p>
          <w:p w14:paraId="525C2568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</w:p>
        </w:tc>
      </w:tr>
      <w:tr w:rsidR="004C46AA" w:rsidRPr="00B213D8" w14:paraId="5B796396" w14:textId="77777777" w:rsidTr="00E20F09">
        <w:trPr>
          <w:cantSplit/>
          <w:trHeight w:val="1549"/>
        </w:trPr>
        <w:tc>
          <w:tcPr>
            <w:tcW w:w="1026" w:type="pct"/>
          </w:tcPr>
          <w:p w14:paraId="78219680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założeń planów rządowych dotyczących funkcjonowania i rozwoju sektora nauki/zdrowia w Polsce</w:t>
            </w:r>
          </w:p>
        </w:tc>
        <w:tc>
          <w:tcPr>
            <w:tcW w:w="733" w:type="pct"/>
          </w:tcPr>
          <w:p w14:paraId="3B97B326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45C07C04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04627CAC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51559672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</w:p>
        </w:tc>
      </w:tr>
      <w:tr w:rsidR="004C46AA" w:rsidRPr="00B213D8" w14:paraId="0A370FAA" w14:textId="77777777" w:rsidTr="00E20F09">
        <w:trPr>
          <w:cantSplit/>
        </w:trPr>
        <w:tc>
          <w:tcPr>
            <w:tcW w:w="1026" w:type="pct"/>
          </w:tcPr>
          <w:p w14:paraId="5AEE58F8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Opóźniania realizacji projektu w wyniku nie rzetelności wykonawców i dostawców usług</w:t>
            </w:r>
          </w:p>
        </w:tc>
        <w:tc>
          <w:tcPr>
            <w:tcW w:w="733" w:type="pct"/>
          </w:tcPr>
          <w:p w14:paraId="04D7F604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6C05BBB6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287" w:type="pct"/>
            <w:gridSpan w:val="2"/>
          </w:tcPr>
          <w:p w14:paraId="32FF212A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bezpieczeństwa czasowego,</w:t>
            </w:r>
          </w:p>
          <w:p w14:paraId="00A81F41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nierzetelnością,</w:t>
            </w:r>
          </w:p>
          <w:p w14:paraId="4CC3AFAB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</w:p>
        </w:tc>
      </w:tr>
      <w:tr w:rsidR="004C46AA" w:rsidRPr="00B213D8" w14:paraId="2F5BA0A7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7D6091D8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Brak rozpoczęcia prac projektowych w terminie spowodowany opóźnieniem w podejmowaniu decyzji przez IPiN (np. decyzji dotyczących podziału zamówień publicznych)</w:t>
            </w:r>
          </w:p>
        </w:tc>
        <w:tc>
          <w:tcPr>
            <w:tcW w:w="733" w:type="pct"/>
          </w:tcPr>
          <w:p w14:paraId="7CC8084C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0F33CFA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79" w:type="pct"/>
          </w:tcPr>
          <w:p w14:paraId="2E7715EB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307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Jak najszybsze zatwierdzenie dokumentów projektowych przez Zarząd IPiN</w:t>
            </w:r>
          </w:p>
          <w:p w14:paraId="29909CB5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252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</w:p>
          <w:p w14:paraId="2BD89868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44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</w:p>
        </w:tc>
      </w:tr>
      <w:tr w:rsidR="004C46AA" w:rsidRPr="00B213D8" w14:paraId="043A98E9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692EFC75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Niedotrzymywanie terminów prac zawartych w harmonogramie projektu</w:t>
            </w:r>
          </w:p>
        </w:tc>
        <w:tc>
          <w:tcPr>
            <w:tcW w:w="733" w:type="pct"/>
          </w:tcPr>
          <w:p w14:paraId="4A9813E2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473F96D9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79" w:type="pct"/>
          </w:tcPr>
          <w:p w14:paraId="6D8AE330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</w:tc>
      </w:tr>
      <w:tr w:rsidR="004C46AA" w:rsidRPr="00B213D8" w14:paraId="41B879D9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5708C87B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Znacznie wyższy koszt usług</w:t>
            </w:r>
          </w:p>
        </w:tc>
        <w:tc>
          <w:tcPr>
            <w:tcW w:w="733" w:type="pct"/>
          </w:tcPr>
          <w:p w14:paraId="07000C7A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7EB461D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79" w:type="pct"/>
          </w:tcPr>
          <w:p w14:paraId="07ED9D4E" w14:textId="77777777" w:rsidR="004C46AA" w:rsidRPr="00B213D8" w:rsidRDefault="004C46AA" w:rsidP="00E20F09">
            <w:pPr>
              <w:pStyle w:val="Akapitzlist"/>
              <w:numPr>
                <w:ilvl w:val="0"/>
                <w:numId w:val="24"/>
              </w:numPr>
              <w:spacing w:after="0" w:line="300" w:lineRule="auto"/>
              <w:ind w:left="44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Bieżąca kontrola wydatków w projekcie i ich zgodności z harmonogramem oraz poziomu wykorzystania budżetu</w:t>
            </w:r>
          </w:p>
        </w:tc>
      </w:tr>
    </w:tbl>
    <w:p w14:paraId="254C3D78" w14:textId="77777777" w:rsidR="004C46AA" w:rsidRPr="00B213D8" w:rsidRDefault="004C46A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B213D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213D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213D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213D8" w:rsidRDefault="0091332C" w:rsidP="008B486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213D8" w:rsidRDefault="0091332C" w:rsidP="008B486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213D8" w:rsidRDefault="0091332C" w:rsidP="008B486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213D8" w:rsidRDefault="0091332C" w:rsidP="008B486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71147" w:rsidRPr="00B213D8" w14:paraId="75D7867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9DCEA5C" w14:textId="62C440D3" w:rsidR="00971147" w:rsidRPr="00B213D8" w:rsidRDefault="00971147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7B177335" w14:textId="45843364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DABA367" w14:textId="7BB45D77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A87684" w14:textId="7962B67F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971147" w:rsidRPr="00B213D8" w14:paraId="7E4BDD6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89EAE3" w14:textId="1DF7C66E" w:rsidR="00971147" w:rsidRPr="00B213D8" w:rsidRDefault="00971147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3F04F80E" w14:textId="30098C93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AD1903" w14:textId="637C3BA8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7A55F75" w14:textId="5B0010D5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537D37CF" w14:textId="77777777" w:rsidR="0091332C" w:rsidRPr="00B213D8" w:rsidRDefault="0091332C" w:rsidP="00141A92">
      <w:pPr>
        <w:spacing w:before="240" w:after="120"/>
        <w:rPr>
          <w:rFonts w:ascii="Arial" w:hAnsi="Arial" w:cs="Arial"/>
        </w:rPr>
      </w:pPr>
    </w:p>
    <w:p w14:paraId="6B913CCF" w14:textId="77777777" w:rsidR="001C1B8F" w:rsidRPr="00B213D8" w:rsidRDefault="00BB059E" w:rsidP="0097114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971147" w:rsidRPr="00B213D8">
        <w:t xml:space="preserve"> </w:t>
      </w:r>
    </w:p>
    <w:p w14:paraId="090DD192" w14:textId="3A89585E" w:rsidR="001C1B8F" w:rsidRPr="00B213D8" w:rsidRDefault="00971147" w:rsidP="004D6970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</w:t>
      </w:r>
      <w:r w:rsidR="004D6970" w:rsidRPr="00B213D8">
        <w:rPr>
          <w:rStyle w:val="Nagwek2Znak"/>
          <w:rFonts w:ascii="Arial" w:hAnsi="Arial" w:cs="Arial"/>
          <w:color w:val="auto"/>
          <w:sz w:val="22"/>
          <w:szCs w:val="22"/>
        </w:rPr>
        <w:t>logii</w:t>
      </w:r>
    </w:p>
    <w:p w14:paraId="3D11D904" w14:textId="391E83FF" w:rsidR="001C1B8F" w:rsidRPr="00DD38E0" w:rsidRDefault="001C1B8F" w:rsidP="001C1B8F">
      <w:pPr>
        <w:rPr>
          <w:rFonts w:ascii="Arial" w:eastAsiaTheme="majorEastAsia" w:hAnsi="Arial" w:cs="Arial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 xml:space="preserve">Kontakt: </w:t>
      </w:r>
      <w:r w:rsidR="00971147" w:rsidRPr="00B213D8">
        <w:rPr>
          <w:rStyle w:val="Nagwek2Znak"/>
          <w:rFonts w:ascii="Arial" w:hAnsi="Arial" w:cs="Arial"/>
          <w:color w:val="auto"/>
          <w:sz w:val="22"/>
          <w:szCs w:val="22"/>
        </w:rPr>
        <w:t>tstepien@ipin.edu.pl, tel. 45-82-786, 514-959-379</w:t>
      </w:r>
    </w:p>
    <w:sectPr w:rsidR="001C1B8F" w:rsidRPr="00DD38E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37CF8" w14:textId="77777777" w:rsidR="00BA7AE7" w:rsidRDefault="00BA7AE7" w:rsidP="00BB2420">
      <w:pPr>
        <w:spacing w:after="0" w:line="240" w:lineRule="auto"/>
      </w:pPr>
      <w:r>
        <w:separator/>
      </w:r>
    </w:p>
  </w:endnote>
  <w:endnote w:type="continuationSeparator" w:id="0">
    <w:p w14:paraId="53FED637" w14:textId="77777777" w:rsidR="00BA7AE7" w:rsidRDefault="00BA7AE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D3CD6" w:rsidRDefault="002D3C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47D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D3CD6" w:rsidRDefault="002D3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6CFEB" w14:textId="77777777" w:rsidR="00BA7AE7" w:rsidRDefault="00BA7AE7" w:rsidP="00BB2420">
      <w:pPr>
        <w:spacing w:after="0" w:line="240" w:lineRule="auto"/>
      </w:pPr>
      <w:r>
        <w:separator/>
      </w:r>
    </w:p>
  </w:footnote>
  <w:footnote w:type="continuationSeparator" w:id="0">
    <w:p w14:paraId="374D857E" w14:textId="77777777" w:rsidR="00BA7AE7" w:rsidRDefault="00BA7AE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D3CD6" w:rsidRDefault="002D3CD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1228"/>
    <w:multiLevelType w:val="hybridMultilevel"/>
    <w:tmpl w:val="B0204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49A0"/>
    <w:multiLevelType w:val="hybridMultilevel"/>
    <w:tmpl w:val="CF18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A69E9"/>
    <w:multiLevelType w:val="hybridMultilevel"/>
    <w:tmpl w:val="D5C6C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0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310B0C"/>
    <w:multiLevelType w:val="hybridMultilevel"/>
    <w:tmpl w:val="D55EF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176894"/>
    <w:multiLevelType w:val="hybridMultilevel"/>
    <w:tmpl w:val="8410D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FB7E9A"/>
    <w:multiLevelType w:val="hybridMultilevel"/>
    <w:tmpl w:val="A0068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9"/>
  </w:num>
  <w:num w:numId="4">
    <w:abstractNumId w:val="13"/>
  </w:num>
  <w:num w:numId="5">
    <w:abstractNumId w:val="24"/>
  </w:num>
  <w:num w:numId="6">
    <w:abstractNumId w:val="6"/>
  </w:num>
  <w:num w:numId="7">
    <w:abstractNumId w:val="18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2"/>
  </w:num>
  <w:num w:numId="15">
    <w:abstractNumId w:val="25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7"/>
  </w:num>
  <w:num w:numId="21">
    <w:abstractNumId w:val="23"/>
  </w:num>
  <w:num w:numId="22">
    <w:abstractNumId w:val="1"/>
  </w:num>
  <w:num w:numId="23">
    <w:abstractNumId w:val="20"/>
  </w:num>
  <w:num w:numId="24">
    <w:abstractNumId w:val="4"/>
  </w:num>
  <w:num w:numId="25">
    <w:abstractNumId w:val="19"/>
  </w:num>
  <w:num w:numId="26">
    <w:abstractNumId w:val="28"/>
  </w:num>
  <w:num w:numId="27">
    <w:abstractNumId w:val="12"/>
  </w:num>
  <w:num w:numId="28">
    <w:abstractNumId w:val="5"/>
  </w:num>
  <w:num w:numId="29">
    <w:abstractNumId w:val="21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07F75"/>
    <w:rsid w:val="000161E9"/>
    <w:rsid w:val="000162F5"/>
    <w:rsid w:val="0002343E"/>
    <w:rsid w:val="000331DF"/>
    <w:rsid w:val="00043DD9"/>
    <w:rsid w:val="00044D68"/>
    <w:rsid w:val="00047D9D"/>
    <w:rsid w:val="00070663"/>
    <w:rsid w:val="000763DD"/>
    <w:rsid w:val="00084E5B"/>
    <w:rsid w:val="00087231"/>
    <w:rsid w:val="00095944"/>
    <w:rsid w:val="000A1DFB"/>
    <w:rsid w:val="000A2F32"/>
    <w:rsid w:val="000A3938"/>
    <w:rsid w:val="000B15C9"/>
    <w:rsid w:val="000B35EF"/>
    <w:rsid w:val="000B3E49"/>
    <w:rsid w:val="000D41F8"/>
    <w:rsid w:val="000E0060"/>
    <w:rsid w:val="000E1828"/>
    <w:rsid w:val="000E4BF8"/>
    <w:rsid w:val="000E7875"/>
    <w:rsid w:val="000F077F"/>
    <w:rsid w:val="000F07AF"/>
    <w:rsid w:val="000F20A9"/>
    <w:rsid w:val="000F307B"/>
    <w:rsid w:val="000F30B9"/>
    <w:rsid w:val="000F3A8E"/>
    <w:rsid w:val="001057D3"/>
    <w:rsid w:val="0011030B"/>
    <w:rsid w:val="0011062E"/>
    <w:rsid w:val="00113509"/>
    <w:rsid w:val="0011693F"/>
    <w:rsid w:val="00122388"/>
    <w:rsid w:val="00124C3D"/>
    <w:rsid w:val="00141A92"/>
    <w:rsid w:val="00145E84"/>
    <w:rsid w:val="0015102C"/>
    <w:rsid w:val="0016735F"/>
    <w:rsid w:val="0016742E"/>
    <w:rsid w:val="00176FBB"/>
    <w:rsid w:val="00181E97"/>
    <w:rsid w:val="00182A08"/>
    <w:rsid w:val="001A119A"/>
    <w:rsid w:val="001A2EF2"/>
    <w:rsid w:val="001A5113"/>
    <w:rsid w:val="001A7DC8"/>
    <w:rsid w:val="001C1B8F"/>
    <w:rsid w:val="001C2D74"/>
    <w:rsid w:val="001C7FAC"/>
    <w:rsid w:val="001D7ACF"/>
    <w:rsid w:val="001E0C9C"/>
    <w:rsid w:val="001E0CAC"/>
    <w:rsid w:val="001E16A3"/>
    <w:rsid w:val="001E1DEA"/>
    <w:rsid w:val="001E2350"/>
    <w:rsid w:val="001E7199"/>
    <w:rsid w:val="001F24A0"/>
    <w:rsid w:val="001F2BD6"/>
    <w:rsid w:val="001F67EC"/>
    <w:rsid w:val="0020330A"/>
    <w:rsid w:val="002302E7"/>
    <w:rsid w:val="00237279"/>
    <w:rsid w:val="00240D69"/>
    <w:rsid w:val="00241B5E"/>
    <w:rsid w:val="0024735B"/>
    <w:rsid w:val="00252087"/>
    <w:rsid w:val="0027679B"/>
    <w:rsid w:val="00276C00"/>
    <w:rsid w:val="00281C21"/>
    <w:rsid w:val="00290236"/>
    <w:rsid w:val="002A3C02"/>
    <w:rsid w:val="002A5452"/>
    <w:rsid w:val="002A7516"/>
    <w:rsid w:val="002B4889"/>
    <w:rsid w:val="002B50C0"/>
    <w:rsid w:val="002B5317"/>
    <w:rsid w:val="002B6F21"/>
    <w:rsid w:val="002C4696"/>
    <w:rsid w:val="002C4758"/>
    <w:rsid w:val="002D3CD6"/>
    <w:rsid w:val="002D3D4A"/>
    <w:rsid w:val="002D7ADA"/>
    <w:rsid w:val="002F59C9"/>
    <w:rsid w:val="0030196F"/>
    <w:rsid w:val="00302775"/>
    <w:rsid w:val="00304D04"/>
    <w:rsid w:val="00310D8E"/>
    <w:rsid w:val="003167EB"/>
    <w:rsid w:val="003221F2"/>
    <w:rsid w:val="00322614"/>
    <w:rsid w:val="00323556"/>
    <w:rsid w:val="00334A24"/>
    <w:rsid w:val="003400F8"/>
    <w:rsid w:val="00340820"/>
    <w:rsid w:val="003410FE"/>
    <w:rsid w:val="003454DC"/>
    <w:rsid w:val="003508E7"/>
    <w:rsid w:val="003542F1"/>
    <w:rsid w:val="00356A3E"/>
    <w:rsid w:val="0036248F"/>
    <w:rsid w:val="003642B8"/>
    <w:rsid w:val="00381E76"/>
    <w:rsid w:val="003A4115"/>
    <w:rsid w:val="003A781A"/>
    <w:rsid w:val="003B5B7A"/>
    <w:rsid w:val="003B5C33"/>
    <w:rsid w:val="003C422E"/>
    <w:rsid w:val="003C7325"/>
    <w:rsid w:val="003D75DB"/>
    <w:rsid w:val="003D7DD0"/>
    <w:rsid w:val="003E3144"/>
    <w:rsid w:val="003F55F1"/>
    <w:rsid w:val="0040027A"/>
    <w:rsid w:val="00405EA4"/>
    <w:rsid w:val="0041034F"/>
    <w:rsid w:val="004118A3"/>
    <w:rsid w:val="00412D4E"/>
    <w:rsid w:val="00413ADC"/>
    <w:rsid w:val="00423A26"/>
    <w:rsid w:val="00425046"/>
    <w:rsid w:val="00432AE6"/>
    <w:rsid w:val="00434272"/>
    <w:rsid w:val="004350B8"/>
    <w:rsid w:val="00436AC6"/>
    <w:rsid w:val="00443D71"/>
    <w:rsid w:val="00444AAB"/>
    <w:rsid w:val="00450089"/>
    <w:rsid w:val="00476E62"/>
    <w:rsid w:val="004829EA"/>
    <w:rsid w:val="004A087E"/>
    <w:rsid w:val="004B2696"/>
    <w:rsid w:val="004C1D48"/>
    <w:rsid w:val="004C46AA"/>
    <w:rsid w:val="004D65CA"/>
    <w:rsid w:val="004D6970"/>
    <w:rsid w:val="004E351B"/>
    <w:rsid w:val="004F05B8"/>
    <w:rsid w:val="004F36A9"/>
    <w:rsid w:val="004F6E89"/>
    <w:rsid w:val="005073BD"/>
    <w:rsid w:val="00517F12"/>
    <w:rsid w:val="0052102C"/>
    <w:rsid w:val="00524E6C"/>
    <w:rsid w:val="005332D6"/>
    <w:rsid w:val="00544DFE"/>
    <w:rsid w:val="005644EF"/>
    <w:rsid w:val="005734CE"/>
    <w:rsid w:val="00576828"/>
    <w:rsid w:val="00586664"/>
    <w:rsid w:val="00593290"/>
    <w:rsid w:val="005A12F7"/>
    <w:rsid w:val="005A1B30"/>
    <w:rsid w:val="005B1A32"/>
    <w:rsid w:val="005C0469"/>
    <w:rsid w:val="005C0B8A"/>
    <w:rsid w:val="005C6116"/>
    <w:rsid w:val="005C77BB"/>
    <w:rsid w:val="005D17CF"/>
    <w:rsid w:val="005D5AAB"/>
    <w:rsid w:val="005D6E12"/>
    <w:rsid w:val="005E07AB"/>
    <w:rsid w:val="005E0ED8"/>
    <w:rsid w:val="005E6ABD"/>
    <w:rsid w:val="005F41FA"/>
    <w:rsid w:val="00600AE4"/>
    <w:rsid w:val="006054AA"/>
    <w:rsid w:val="006060B2"/>
    <w:rsid w:val="006108EA"/>
    <w:rsid w:val="00610D37"/>
    <w:rsid w:val="0061132D"/>
    <w:rsid w:val="00612533"/>
    <w:rsid w:val="0061347E"/>
    <w:rsid w:val="0062054D"/>
    <w:rsid w:val="00625994"/>
    <w:rsid w:val="00632BE8"/>
    <w:rsid w:val="006334BF"/>
    <w:rsid w:val="00635A54"/>
    <w:rsid w:val="00661A62"/>
    <w:rsid w:val="006731D9"/>
    <w:rsid w:val="006822BC"/>
    <w:rsid w:val="00684533"/>
    <w:rsid w:val="00697D52"/>
    <w:rsid w:val="006A0583"/>
    <w:rsid w:val="006A4BDA"/>
    <w:rsid w:val="006A60AA"/>
    <w:rsid w:val="006B034F"/>
    <w:rsid w:val="006B4D13"/>
    <w:rsid w:val="006B5117"/>
    <w:rsid w:val="006C5446"/>
    <w:rsid w:val="006C6B1D"/>
    <w:rsid w:val="006E0CFA"/>
    <w:rsid w:val="006E6205"/>
    <w:rsid w:val="006F172B"/>
    <w:rsid w:val="006F342B"/>
    <w:rsid w:val="006F3A96"/>
    <w:rsid w:val="00701800"/>
    <w:rsid w:val="00710A35"/>
    <w:rsid w:val="00725708"/>
    <w:rsid w:val="007314B2"/>
    <w:rsid w:val="00740A47"/>
    <w:rsid w:val="00742320"/>
    <w:rsid w:val="00743573"/>
    <w:rsid w:val="00746ABD"/>
    <w:rsid w:val="007572BA"/>
    <w:rsid w:val="007702C3"/>
    <w:rsid w:val="0077418F"/>
    <w:rsid w:val="00775C44"/>
    <w:rsid w:val="0079066F"/>
    <w:rsid w:val="007924CE"/>
    <w:rsid w:val="007953DD"/>
    <w:rsid w:val="00795AFA"/>
    <w:rsid w:val="00797FDB"/>
    <w:rsid w:val="007A4742"/>
    <w:rsid w:val="007B0251"/>
    <w:rsid w:val="007B11EC"/>
    <w:rsid w:val="007C2F7E"/>
    <w:rsid w:val="007C6235"/>
    <w:rsid w:val="007D1990"/>
    <w:rsid w:val="007D275E"/>
    <w:rsid w:val="007D2C34"/>
    <w:rsid w:val="007D38BD"/>
    <w:rsid w:val="007D3F21"/>
    <w:rsid w:val="007D7F85"/>
    <w:rsid w:val="007E341A"/>
    <w:rsid w:val="007F126F"/>
    <w:rsid w:val="007F617F"/>
    <w:rsid w:val="007F6829"/>
    <w:rsid w:val="00806134"/>
    <w:rsid w:val="0080626C"/>
    <w:rsid w:val="00830B70"/>
    <w:rsid w:val="0083588A"/>
    <w:rsid w:val="00840749"/>
    <w:rsid w:val="0087452F"/>
    <w:rsid w:val="00875528"/>
    <w:rsid w:val="00884686"/>
    <w:rsid w:val="0089562F"/>
    <w:rsid w:val="008A332F"/>
    <w:rsid w:val="008A52F6"/>
    <w:rsid w:val="008B2253"/>
    <w:rsid w:val="008B3FA7"/>
    <w:rsid w:val="008B486B"/>
    <w:rsid w:val="008C463B"/>
    <w:rsid w:val="008C4BCD"/>
    <w:rsid w:val="008C6721"/>
    <w:rsid w:val="008D3826"/>
    <w:rsid w:val="008F24C4"/>
    <w:rsid w:val="008F2D9B"/>
    <w:rsid w:val="009002D1"/>
    <w:rsid w:val="00907F6D"/>
    <w:rsid w:val="00910DD9"/>
    <w:rsid w:val="00911190"/>
    <w:rsid w:val="00913102"/>
    <w:rsid w:val="0091332C"/>
    <w:rsid w:val="00916045"/>
    <w:rsid w:val="00922737"/>
    <w:rsid w:val="00924FF0"/>
    <w:rsid w:val="009256F2"/>
    <w:rsid w:val="00933BEC"/>
    <w:rsid w:val="00933EA2"/>
    <w:rsid w:val="00936729"/>
    <w:rsid w:val="0094259B"/>
    <w:rsid w:val="00945A29"/>
    <w:rsid w:val="0095183B"/>
    <w:rsid w:val="00952126"/>
    <w:rsid w:val="00952617"/>
    <w:rsid w:val="0095710C"/>
    <w:rsid w:val="00960120"/>
    <w:rsid w:val="009663A6"/>
    <w:rsid w:val="00971147"/>
    <w:rsid w:val="009712C6"/>
    <w:rsid w:val="0097197F"/>
    <w:rsid w:val="00971A40"/>
    <w:rsid w:val="00976434"/>
    <w:rsid w:val="00992EA3"/>
    <w:rsid w:val="009967CA"/>
    <w:rsid w:val="009A17FF"/>
    <w:rsid w:val="009B4423"/>
    <w:rsid w:val="009B44C0"/>
    <w:rsid w:val="009B6475"/>
    <w:rsid w:val="009C6140"/>
    <w:rsid w:val="009C7E84"/>
    <w:rsid w:val="009D2A8F"/>
    <w:rsid w:val="009D2FA4"/>
    <w:rsid w:val="009D3854"/>
    <w:rsid w:val="009D7D8A"/>
    <w:rsid w:val="009E0464"/>
    <w:rsid w:val="009E4C67"/>
    <w:rsid w:val="009E61FF"/>
    <w:rsid w:val="009F09BF"/>
    <w:rsid w:val="009F1DC8"/>
    <w:rsid w:val="009F2A54"/>
    <w:rsid w:val="009F437E"/>
    <w:rsid w:val="009F7C0B"/>
    <w:rsid w:val="00A02F23"/>
    <w:rsid w:val="00A04737"/>
    <w:rsid w:val="00A05E69"/>
    <w:rsid w:val="00A11788"/>
    <w:rsid w:val="00A20EB1"/>
    <w:rsid w:val="00A22ADE"/>
    <w:rsid w:val="00A261CA"/>
    <w:rsid w:val="00A27F7E"/>
    <w:rsid w:val="00A30847"/>
    <w:rsid w:val="00A30B9A"/>
    <w:rsid w:val="00A31176"/>
    <w:rsid w:val="00A36AE2"/>
    <w:rsid w:val="00A43E49"/>
    <w:rsid w:val="00A44EA2"/>
    <w:rsid w:val="00A56D63"/>
    <w:rsid w:val="00A67685"/>
    <w:rsid w:val="00A71796"/>
    <w:rsid w:val="00A717CB"/>
    <w:rsid w:val="00A728AE"/>
    <w:rsid w:val="00A804AE"/>
    <w:rsid w:val="00A86168"/>
    <w:rsid w:val="00A86449"/>
    <w:rsid w:val="00A87C1C"/>
    <w:rsid w:val="00AA47D4"/>
    <w:rsid w:val="00AA4CAB"/>
    <w:rsid w:val="00AA51AD"/>
    <w:rsid w:val="00AB2E01"/>
    <w:rsid w:val="00AC13BB"/>
    <w:rsid w:val="00AC6C93"/>
    <w:rsid w:val="00AC7E26"/>
    <w:rsid w:val="00AD45BB"/>
    <w:rsid w:val="00AE1643"/>
    <w:rsid w:val="00AE3532"/>
    <w:rsid w:val="00AE3A6C"/>
    <w:rsid w:val="00AF0921"/>
    <w:rsid w:val="00AF09B8"/>
    <w:rsid w:val="00AF567D"/>
    <w:rsid w:val="00AF6D9D"/>
    <w:rsid w:val="00AF7AF0"/>
    <w:rsid w:val="00B17709"/>
    <w:rsid w:val="00B213D8"/>
    <w:rsid w:val="00B27166"/>
    <w:rsid w:val="00B406B0"/>
    <w:rsid w:val="00B41415"/>
    <w:rsid w:val="00B440C3"/>
    <w:rsid w:val="00B47306"/>
    <w:rsid w:val="00B50560"/>
    <w:rsid w:val="00B54BF9"/>
    <w:rsid w:val="00B64B3C"/>
    <w:rsid w:val="00B657C8"/>
    <w:rsid w:val="00B673C6"/>
    <w:rsid w:val="00B74859"/>
    <w:rsid w:val="00B76C40"/>
    <w:rsid w:val="00B77BC1"/>
    <w:rsid w:val="00B827A0"/>
    <w:rsid w:val="00B87D3D"/>
    <w:rsid w:val="00B955B8"/>
    <w:rsid w:val="00BA481C"/>
    <w:rsid w:val="00BA7AE7"/>
    <w:rsid w:val="00BB059E"/>
    <w:rsid w:val="00BB2420"/>
    <w:rsid w:val="00BB5ACE"/>
    <w:rsid w:val="00BC1BD2"/>
    <w:rsid w:val="00BC6BE4"/>
    <w:rsid w:val="00BE1B9C"/>
    <w:rsid w:val="00BE47CD"/>
    <w:rsid w:val="00BE5BF9"/>
    <w:rsid w:val="00BE6608"/>
    <w:rsid w:val="00BF2BEA"/>
    <w:rsid w:val="00BF4B68"/>
    <w:rsid w:val="00C1106C"/>
    <w:rsid w:val="00C24134"/>
    <w:rsid w:val="00C26361"/>
    <w:rsid w:val="00C302F1"/>
    <w:rsid w:val="00C37B10"/>
    <w:rsid w:val="00C37B18"/>
    <w:rsid w:val="00C42AEA"/>
    <w:rsid w:val="00C465DB"/>
    <w:rsid w:val="00C57985"/>
    <w:rsid w:val="00C6751B"/>
    <w:rsid w:val="00C75150"/>
    <w:rsid w:val="00C771B9"/>
    <w:rsid w:val="00C852F0"/>
    <w:rsid w:val="00CA2E5E"/>
    <w:rsid w:val="00CA516B"/>
    <w:rsid w:val="00CC0FCD"/>
    <w:rsid w:val="00CC7BB9"/>
    <w:rsid w:val="00CC7E21"/>
    <w:rsid w:val="00CD0BC7"/>
    <w:rsid w:val="00CD60A2"/>
    <w:rsid w:val="00CD6784"/>
    <w:rsid w:val="00CD7A46"/>
    <w:rsid w:val="00CE6171"/>
    <w:rsid w:val="00CE74F9"/>
    <w:rsid w:val="00CE7777"/>
    <w:rsid w:val="00CF2E64"/>
    <w:rsid w:val="00D0090C"/>
    <w:rsid w:val="00D25CFE"/>
    <w:rsid w:val="00D3415D"/>
    <w:rsid w:val="00D4485A"/>
    <w:rsid w:val="00D4607F"/>
    <w:rsid w:val="00D47109"/>
    <w:rsid w:val="00D52B97"/>
    <w:rsid w:val="00D57025"/>
    <w:rsid w:val="00D57765"/>
    <w:rsid w:val="00D62774"/>
    <w:rsid w:val="00D638D0"/>
    <w:rsid w:val="00D642A0"/>
    <w:rsid w:val="00D6659B"/>
    <w:rsid w:val="00D764C9"/>
    <w:rsid w:val="00D77F50"/>
    <w:rsid w:val="00D859F4"/>
    <w:rsid w:val="00D85A52"/>
    <w:rsid w:val="00D86FEC"/>
    <w:rsid w:val="00DA34DF"/>
    <w:rsid w:val="00DB5765"/>
    <w:rsid w:val="00DB6958"/>
    <w:rsid w:val="00DB69FD"/>
    <w:rsid w:val="00DB7ECE"/>
    <w:rsid w:val="00DC0A8A"/>
    <w:rsid w:val="00DC1705"/>
    <w:rsid w:val="00DC39A9"/>
    <w:rsid w:val="00DC4C79"/>
    <w:rsid w:val="00DC701D"/>
    <w:rsid w:val="00DD38E0"/>
    <w:rsid w:val="00DE6249"/>
    <w:rsid w:val="00DE731D"/>
    <w:rsid w:val="00DF59E2"/>
    <w:rsid w:val="00E0076D"/>
    <w:rsid w:val="00E11B44"/>
    <w:rsid w:val="00E15DEB"/>
    <w:rsid w:val="00E1688D"/>
    <w:rsid w:val="00E1698A"/>
    <w:rsid w:val="00E203EB"/>
    <w:rsid w:val="00E20F09"/>
    <w:rsid w:val="00E304A0"/>
    <w:rsid w:val="00E35401"/>
    <w:rsid w:val="00E375DB"/>
    <w:rsid w:val="00E42938"/>
    <w:rsid w:val="00E42940"/>
    <w:rsid w:val="00E47508"/>
    <w:rsid w:val="00E47A6C"/>
    <w:rsid w:val="00E5129C"/>
    <w:rsid w:val="00E55EB0"/>
    <w:rsid w:val="00E57BB7"/>
    <w:rsid w:val="00E61CB0"/>
    <w:rsid w:val="00E6395B"/>
    <w:rsid w:val="00E654DF"/>
    <w:rsid w:val="00E71256"/>
    <w:rsid w:val="00E714C2"/>
    <w:rsid w:val="00E71BCF"/>
    <w:rsid w:val="00E7524C"/>
    <w:rsid w:val="00E81D7C"/>
    <w:rsid w:val="00E83FA4"/>
    <w:rsid w:val="00E86020"/>
    <w:rsid w:val="00EA0B4F"/>
    <w:rsid w:val="00EA606B"/>
    <w:rsid w:val="00EA7E87"/>
    <w:rsid w:val="00EB334C"/>
    <w:rsid w:val="00EC2AFC"/>
    <w:rsid w:val="00EF077C"/>
    <w:rsid w:val="00F026D5"/>
    <w:rsid w:val="00F07B11"/>
    <w:rsid w:val="00F118DB"/>
    <w:rsid w:val="00F138F7"/>
    <w:rsid w:val="00F2008A"/>
    <w:rsid w:val="00F21D9E"/>
    <w:rsid w:val="00F25348"/>
    <w:rsid w:val="00F27422"/>
    <w:rsid w:val="00F3363A"/>
    <w:rsid w:val="00F40715"/>
    <w:rsid w:val="00F45506"/>
    <w:rsid w:val="00F60062"/>
    <w:rsid w:val="00F613CC"/>
    <w:rsid w:val="00F76735"/>
    <w:rsid w:val="00F76777"/>
    <w:rsid w:val="00F8243E"/>
    <w:rsid w:val="00F83F2F"/>
    <w:rsid w:val="00F86555"/>
    <w:rsid w:val="00F87250"/>
    <w:rsid w:val="00F96CFA"/>
    <w:rsid w:val="00FC3B03"/>
    <w:rsid w:val="00FD30A3"/>
    <w:rsid w:val="00FD643D"/>
    <w:rsid w:val="00FE2F4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711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A1839-3D87-42B4-B3F8-46F2AA02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2667</Words>
  <Characters>16005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2019-07-12T07:50:00Z</dcterms:created>
  <dcterms:modified xsi:type="dcterms:W3CDTF">2019-07-12T08:00:00Z</dcterms:modified>
</cp:coreProperties>
</file>